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1B4" w:rsidRDefault="005A31B4" w:rsidP="005A31B4">
      <w:pPr>
        <w:tabs>
          <w:tab w:val="left" w:pos="7657"/>
        </w:tabs>
        <w:rPr>
          <w:rFonts w:eastAsia="仿宋_GB2312" w:hint="default"/>
          <w:bCs/>
          <w:sz w:val="30"/>
        </w:rPr>
      </w:pPr>
      <w:r>
        <w:rPr>
          <w:rFonts w:eastAsia="仿宋_GB2312"/>
          <w:bCs/>
          <w:sz w:val="30"/>
        </w:rPr>
        <w:t>附件</w:t>
      </w:r>
      <w:r w:rsidR="008E2277">
        <w:rPr>
          <w:rFonts w:eastAsia="仿宋_GB2312"/>
          <w:bCs/>
          <w:sz w:val="30"/>
        </w:rPr>
        <w:t>3</w:t>
      </w:r>
    </w:p>
    <w:p w:rsidR="005A31B4" w:rsidRDefault="005A31B4" w:rsidP="005A31B4">
      <w:pPr>
        <w:jc w:val="center"/>
        <w:rPr>
          <w:rFonts w:eastAsia="黑体" w:hint="default"/>
          <w:b/>
          <w:sz w:val="48"/>
        </w:rPr>
      </w:pPr>
    </w:p>
    <w:p w:rsidR="005A31B4" w:rsidRDefault="005A31B4" w:rsidP="005A31B4">
      <w:pPr>
        <w:jc w:val="center"/>
        <w:rPr>
          <w:rFonts w:eastAsia="隶书" w:hint="default"/>
          <w:b/>
          <w:sz w:val="72"/>
        </w:rPr>
      </w:pPr>
      <w:r>
        <w:rPr>
          <w:rFonts w:ascii="仿宋_GB2312" w:eastAsia="仿宋_GB2312"/>
          <w:b/>
          <w:bCs/>
          <w:sz w:val="32"/>
          <w:szCs w:val="32"/>
        </w:rPr>
        <w:t>南京工程学院重点专业</w:t>
      </w:r>
      <w:bookmarkStart w:id="0" w:name="_GoBack"/>
      <w:bookmarkEnd w:id="0"/>
      <w:r>
        <w:rPr>
          <w:rFonts w:ascii="仿宋_GB2312" w:eastAsia="仿宋_GB2312"/>
          <w:b/>
          <w:bCs/>
          <w:sz w:val="32"/>
          <w:szCs w:val="32"/>
        </w:rPr>
        <w:t>建设自评表</w:t>
      </w:r>
    </w:p>
    <w:p w:rsidR="005A31B4" w:rsidRDefault="005A31B4" w:rsidP="005A31B4">
      <w:pPr>
        <w:rPr>
          <w:rFonts w:hint="default"/>
        </w:rPr>
      </w:pPr>
      <w:r>
        <w:t>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"/>
        <w:gridCol w:w="1170"/>
        <w:gridCol w:w="2580"/>
        <w:gridCol w:w="2697"/>
        <w:gridCol w:w="433"/>
        <w:gridCol w:w="470"/>
        <w:gridCol w:w="390"/>
        <w:gridCol w:w="867"/>
      </w:tblGrid>
      <w:tr w:rsidR="005A31B4" w:rsidTr="008C4F93">
        <w:trPr>
          <w:trHeight w:val="564"/>
        </w:trPr>
        <w:tc>
          <w:tcPr>
            <w:tcW w:w="861" w:type="dxa"/>
            <w:vMerge w:val="restart"/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一级指标</w:t>
            </w:r>
          </w:p>
        </w:tc>
        <w:tc>
          <w:tcPr>
            <w:tcW w:w="1170" w:type="dxa"/>
            <w:vMerge w:val="restart"/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二</w:t>
            </w:r>
            <w:r>
              <w:rPr>
                <w:rFonts w:eastAsia="仿宋_GB2312"/>
                <w:b/>
                <w:bCs/>
                <w:sz w:val="24"/>
              </w:rPr>
              <w:t xml:space="preserve"> </w:t>
            </w:r>
            <w:r>
              <w:rPr>
                <w:rFonts w:eastAsia="仿宋_GB2312"/>
                <w:b/>
                <w:bCs/>
                <w:sz w:val="24"/>
              </w:rPr>
              <w:t>级</w:t>
            </w:r>
            <w:r>
              <w:rPr>
                <w:rFonts w:eastAsia="仿宋_GB2312"/>
                <w:b/>
                <w:bCs/>
                <w:sz w:val="24"/>
              </w:rPr>
              <w:t xml:space="preserve"> </w:t>
            </w:r>
            <w:r>
              <w:rPr>
                <w:rFonts w:eastAsia="仿宋_GB2312"/>
                <w:b/>
                <w:bCs/>
                <w:sz w:val="24"/>
              </w:rPr>
              <w:t>指</w:t>
            </w:r>
            <w:r>
              <w:rPr>
                <w:rFonts w:eastAsia="仿宋_GB2312"/>
                <w:b/>
                <w:bCs/>
                <w:sz w:val="24"/>
              </w:rPr>
              <w:t xml:space="preserve"> </w:t>
            </w:r>
            <w:r>
              <w:rPr>
                <w:rFonts w:eastAsia="仿宋_GB2312"/>
                <w:b/>
                <w:bCs/>
                <w:sz w:val="24"/>
              </w:rPr>
              <w:t>标</w:t>
            </w:r>
          </w:p>
        </w:tc>
        <w:tc>
          <w:tcPr>
            <w:tcW w:w="5277" w:type="dxa"/>
            <w:gridSpan w:val="2"/>
            <w:tcBorders>
              <w:bottom w:val="single" w:sz="4" w:space="0" w:color="auto"/>
              <w:righ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评审标准</w:t>
            </w:r>
          </w:p>
        </w:tc>
        <w:tc>
          <w:tcPr>
            <w:tcW w:w="1293" w:type="dxa"/>
            <w:gridSpan w:val="3"/>
            <w:tcBorders>
              <w:lef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二级指标等级</w:t>
            </w:r>
          </w:p>
        </w:tc>
        <w:tc>
          <w:tcPr>
            <w:tcW w:w="867" w:type="dxa"/>
            <w:vMerge w:val="restart"/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自评评分</w:t>
            </w:r>
          </w:p>
        </w:tc>
      </w:tr>
      <w:tr w:rsidR="005A31B4" w:rsidTr="008C4F93">
        <w:trPr>
          <w:trHeight w:val="382"/>
        </w:trPr>
        <w:tc>
          <w:tcPr>
            <w:tcW w:w="861" w:type="dxa"/>
            <w:vMerge/>
            <w:tcBorders>
              <w:bottom w:val="doub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b/>
                <w:bCs/>
                <w:sz w:val="24"/>
              </w:rPr>
            </w:pPr>
          </w:p>
        </w:tc>
        <w:tc>
          <w:tcPr>
            <w:tcW w:w="1170" w:type="dxa"/>
            <w:vMerge/>
            <w:tcBorders>
              <w:bottom w:val="doub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b/>
                <w:bCs/>
                <w:sz w:val="24"/>
              </w:rPr>
            </w:pPr>
          </w:p>
        </w:tc>
        <w:tc>
          <w:tcPr>
            <w:tcW w:w="2580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A</w:t>
            </w:r>
          </w:p>
        </w:tc>
        <w:tc>
          <w:tcPr>
            <w:tcW w:w="2697" w:type="dxa"/>
            <w:tcBorders>
              <w:bottom w:val="double" w:sz="4" w:space="0" w:color="auto"/>
              <w:righ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C</w:t>
            </w:r>
          </w:p>
        </w:tc>
        <w:tc>
          <w:tcPr>
            <w:tcW w:w="433" w:type="dxa"/>
            <w:tcBorders>
              <w:left w:val="thickThinSmallGap" w:sz="12" w:space="0" w:color="auto"/>
              <w:bottom w:val="doub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A</w:t>
            </w:r>
          </w:p>
        </w:tc>
        <w:tc>
          <w:tcPr>
            <w:tcW w:w="470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B</w:t>
            </w:r>
          </w:p>
        </w:tc>
        <w:tc>
          <w:tcPr>
            <w:tcW w:w="390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C</w:t>
            </w:r>
          </w:p>
        </w:tc>
        <w:tc>
          <w:tcPr>
            <w:tcW w:w="867" w:type="dxa"/>
            <w:vMerge/>
            <w:tcBorders>
              <w:bottom w:val="doub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b/>
                <w:bCs/>
                <w:sz w:val="24"/>
              </w:rPr>
            </w:pPr>
          </w:p>
        </w:tc>
      </w:tr>
      <w:tr w:rsidR="005A31B4" w:rsidTr="008C4F93">
        <w:trPr>
          <w:trHeight w:val="340"/>
        </w:trPr>
        <w:tc>
          <w:tcPr>
            <w:tcW w:w="861" w:type="dxa"/>
            <w:vMerge w:val="restart"/>
            <w:tcBorders>
              <w:top w:val="doub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（一）</w:t>
            </w:r>
          </w:p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师资队伍</w:t>
            </w:r>
          </w:p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25</w:t>
            </w:r>
            <w:r>
              <w:rPr>
                <w:rFonts w:eastAsia="仿宋_GB2312"/>
                <w:sz w:val="24"/>
              </w:rPr>
              <w:t>分</w:t>
            </w:r>
            <w:r>
              <w:rPr>
                <w:rFonts w:eastAsia="仿宋_GB2312"/>
                <w:b/>
                <w:bCs/>
                <w:sz w:val="24"/>
              </w:rPr>
              <w:t>）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 xml:space="preserve">1.1 </w:t>
            </w:r>
            <w:r>
              <w:rPr>
                <w:rFonts w:eastAsia="仿宋_GB2312"/>
                <w:sz w:val="24"/>
              </w:rPr>
              <w:t>专业带头人</w:t>
            </w:r>
            <w:r>
              <w:rPr>
                <w:rFonts w:eastAsia="仿宋_GB2312"/>
                <w:sz w:val="24"/>
              </w:rPr>
              <w:t>*</w:t>
            </w: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5</w:t>
            </w:r>
            <w:r>
              <w:rPr>
                <w:rFonts w:eastAsia="仿宋_GB2312"/>
                <w:sz w:val="24"/>
              </w:rPr>
              <w:t>分）</w:t>
            </w:r>
          </w:p>
        </w:tc>
        <w:tc>
          <w:tcPr>
            <w:tcW w:w="2580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具有国内知名专家（学术拔尖人才）</w:t>
            </w:r>
            <w:r>
              <w:rPr>
                <w:rFonts w:eastAsia="仿宋_GB2312"/>
                <w:color w:val="000000"/>
                <w:sz w:val="24"/>
              </w:rPr>
              <w:t>1~2</w:t>
            </w:r>
            <w:r>
              <w:rPr>
                <w:rFonts w:eastAsia="仿宋_GB2312"/>
                <w:color w:val="000000"/>
                <w:sz w:val="24"/>
              </w:rPr>
              <w:t>名</w:t>
            </w:r>
          </w:p>
        </w:tc>
        <w:tc>
          <w:tcPr>
            <w:tcW w:w="2697" w:type="dxa"/>
            <w:tcBorders>
              <w:top w:val="double" w:sz="4" w:space="0" w:color="auto"/>
              <w:righ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具有省内</w:t>
            </w:r>
            <w:proofErr w:type="gramStart"/>
            <w:r>
              <w:rPr>
                <w:rFonts w:eastAsia="仿宋_GB2312"/>
                <w:color w:val="000000"/>
                <w:sz w:val="24"/>
              </w:rPr>
              <w:t>内</w:t>
            </w:r>
            <w:proofErr w:type="gramEnd"/>
            <w:r>
              <w:rPr>
                <w:rFonts w:eastAsia="仿宋_GB2312"/>
                <w:color w:val="000000"/>
                <w:sz w:val="24"/>
              </w:rPr>
              <w:t>知名专家（学术拔尖人才）</w:t>
            </w:r>
            <w:r>
              <w:rPr>
                <w:rFonts w:eastAsia="仿宋_GB2312"/>
                <w:color w:val="000000"/>
                <w:sz w:val="24"/>
              </w:rPr>
              <w:t>1~2</w:t>
            </w:r>
            <w:r>
              <w:rPr>
                <w:rFonts w:eastAsia="仿宋_GB2312"/>
                <w:color w:val="000000"/>
                <w:sz w:val="24"/>
              </w:rPr>
              <w:t>名</w:t>
            </w:r>
          </w:p>
        </w:tc>
        <w:tc>
          <w:tcPr>
            <w:tcW w:w="433" w:type="dxa"/>
            <w:tcBorders>
              <w:top w:val="double" w:sz="4" w:space="0" w:color="auto"/>
              <w:lef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</w:p>
        </w:tc>
        <w:tc>
          <w:tcPr>
            <w:tcW w:w="470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390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867" w:type="dxa"/>
            <w:tcBorders>
              <w:top w:val="doub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</w:tr>
      <w:tr w:rsidR="005A31B4" w:rsidTr="008C4F93">
        <w:trPr>
          <w:trHeight w:val="340"/>
        </w:trPr>
        <w:tc>
          <w:tcPr>
            <w:tcW w:w="861" w:type="dxa"/>
            <w:vMerge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  <w:tc>
          <w:tcPr>
            <w:tcW w:w="1170" w:type="dxa"/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 xml:space="preserve">1.2 </w:t>
            </w:r>
            <w:r>
              <w:rPr>
                <w:rFonts w:eastAsia="仿宋_GB2312"/>
                <w:sz w:val="24"/>
              </w:rPr>
              <w:t>教学团队</w:t>
            </w:r>
            <w:r>
              <w:rPr>
                <w:rFonts w:eastAsia="仿宋_GB2312"/>
                <w:sz w:val="24"/>
              </w:rPr>
              <w:t>*</w:t>
            </w:r>
          </w:p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3</w:t>
            </w:r>
            <w:r>
              <w:rPr>
                <w:rFonts w:eastAsia="仿宋_GB2312"/>
                <w:sz w:val="24"/>
              </w:rPr>
              <w:t>分）</w:t>
            </w:r>
          </w:p>
        </w:tc>
        <w:tc>
          <w:tcPr>
            <w:tcW w:w="2580" w:type="dxa"/>
            <w:tcBorders>
              <w:righ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省级以上优秀教学团队</w:t>
            </w:r>
            <w:r>
              <w:rPr>
                <w:rFonts w:eastAsia="仿宋_GB2312"/>
                <w:color w:val="000000"/>
                <w:sz w:val="24"/>
              </w:rPr>
              <w:t>1~2</w:t>
            </w:r>
            <w:r>
              <w:rPr>
                <w:rFonts w:eastAsia="仿宋_GB2312"/>
                <w:color w:val="000000"/>
                <w:sz w:val="24"/>
              </w:rPr>
              <w:t>个</w:t>
            </w:r>
          </w:p>
        </w:tc>
        <w:tc>
          <w:tcPr>
            <w:tcW w:w="2697" w:type="dxa"/>
            <w:tcBorders>
              <w:righ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建有优秀教学团队</w:t>
            </w:r>
            <w:r>
              <w:rPr>
                <w:rFonts w:eastAsia="仿宋_GB2312"/>
                <w:color w:val="000000"/>
                <w:sz w:val="24"/>
              </w:rPr>
              <w:t>1~2</w:t>
            </w:r>
            <w:r>
              <w:rPr>
                <w:rFonts w:eastAsia="仿宋_GB2312"/>
                <w:color w:val="000000"/>
                <w:sz w:val="24"/>
              </w:rPr>
              <w:t>个</w:t>
            </w:r>
          </w:p>
        </w:tc>
        <w:tc>
          <w:tcPr>
            <w:tcW w:w="433" w:type="dxa"/>
            <w:tcBorders>
              <w:lef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470" w:type="dxa"/>
            <w:tcBorders>
              <w:lef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390" w:type="dxa"/>
            <w:tcBorders>
              <w:lef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867" w:type="dxa"/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</w:tr>
      <w:tr w:rsidR="005A31B4" w:rsidTr="008C4F93">
        <w:trPr>
          <w:trHeight w:val="340"/>
        </w:trPr>
        <w:tc>
          <w:tcPr>
            <w:tcW w:w="861" w:type="dxa"/>
            <w:vMerge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  <w:tc>
          <w:tcPr>
            <w:tcW w:w="1170" w:type="dxa"/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 xml:space="preserve">1.3 </w:t>
            </w:r>
            <w:r>
              <w:rPr>
                <w:rFonts w:eastAsia="仿宋_GB2312"/>
                <w:sz w:val="24"/>
              </w:rPr>
              <w:t>队伍结构</w:t>
            </w:r>
            <w:r>
              <w:rPr>
                <w:rFonts w:eastAsia="仿宋_GB2312"/>
                <w:sz w:val="24"/>
              </w:rPr>
              <w:t>*</w:t>
            </w:r>
          </w:p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5</w:t>
            </w:r>
            <w:r>
              <w:rPr>
                <w:rFonts w:eastAsia="仿宋_GB2312"/>
                <w:sz w:val="24"/>
              </w:rPr>
              <w:t>分）</w:t>
            </w:r>
          </w:p>
        </w:tc>
        <w:tc>
          <w:tcPr>
            <w:tcW w:w="2580" w:type="dxa"/>
            <w:tcBorders>
              <w:righ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教授比例≥</w:t>
            </w:r>
            <w:r>
              <w:rPr>
                <w:rFonts w:eastAsia="仿宋_GB2312"/>
                <w:color w:val="000000"/>
                <w:sz w:val="24"/>
              </w:rPr>
              <w:t>30%</w:t>
            </w:r>
            <w:r>
              <w:rPr>
                <w:rFonts w:eastAsia="仿宋_GB2312"/>
                <w:color w:val="000000"/>
                <w:sz w:val="24"/>
              </w:rPr>
              <w:t>、副教授比例≥</w:t>
            </w:r>
            <w:r>
              <w:rPr>
                <w:rFonts w:eastAsia="仿宋_GB2312"/>
                <w:color w:val="000000"/>
                <w:sz w:val="24"/>
              </w:rPr>
              <w:t>50%</w:t>
            </w:r>
            <w:r>
              <w:rPr>
                <w:rFonts w:eastAsia="仿宋_GB2312"/>
                <w:color w:val="000000"/>
                <w:sz w:val="24"/>
              </w:rPr>
              <w:t>；博士比例≥</w:t>
            </w:r>
            <w:r>
              <w:rPr>
                <w:rFonts w:eastAsia="仿宋_GB2312"/>
                <w:color w:val="000000"/>
                <w:sz w:val="24"/>
              </w:rPr>
              <w:t>30%</w:t>
            </w:r>
            <w:r>
              <w:rPr>
                <w:rFonts w:eastAsia="仿宋_GB2312"/>
                <w:color w:val="000000"/>
                <w:sz w:val="24"/>
              </w:rPr>
              <w:t>；</w:t>
            </w:r>
            <w:r>
              <w:rPr>
                <w:rFonts w:eastAsia="仿宋_GB2312" w:hAnsi="仿宋_GB2312"/>
                <w:color w:val="000000"/>
                <w:sz w:val="24"/>
              </w:rPr>
              <w:t>海</w:t>
            </w:r>
            <w:proofErr w:type="gramStart"/>
            <w:r>
              <w:rPr>
                <w:rFonts w:eastAsia="仿宋_GB2312" w:hAnsi="仿宋_GB2312"/>
                <w:color w:val="000000"/>
                <w:sz w:val="24"/>
              </w:rPr>
              <w:t>归教师</w:t>
            </w:r>
            <w:proofErr w:type="gramEnd"/>
            <w:r>
              <w:rPr>
                <w:rFonts w:eastAsia="仿宋_GB2312"/>
                <w:color w:val="000000"/>
                <w:sz w:val="24"/>
              </w:rPr>
              <w:t>(</w:t>
            </w:r>
            <w:r>
              <w:rPr>
                <w:rFonts w:eastAsia="仿宋_GB2312" w:hAnsi="仿宋_GB2312"/>
                <w:color w:val="000000"/>
                <w:sz w:val="24"/>
              </w:rPr>
              <w:t>海外经历</w:t>
            </w:r>
            <w:r>
              <w:rPr>
                <w:rFonts w:eastAsia="仿宋_GB2312"/>
                <w:color w:val="000000"/>
                <w:sz w:val="24"/>
              </w:rPr>
              <w:t>6</w:t>
            </w:r>
            <w:r>
              <w:rPr>
                <w:rFonts w:eastAsia="仿宋_GB2312" w:hAnsi="仿宋_GB2312"/>
                <w:color w:val="000000"/>
                <w:sz w:val="24"/>
              </w:rPr>
              <w:t>个月以上</w:t>
            </w:r>
            <w:r>
              <w:rPr>
                <w:rFonts w:eastAsia="仿宋_GB2312"/>
                <w:color w:val="000000"/>
                <w:sz w:val="24"/>
              </w:rPr>
              <w:t>)</w:t>
            </w:r>
            <w:r>
              <w:rPr>
                <w:rFonts w:eastAsia="仿宋_GB2312"/>
                <w:sz w:val="24"/>
              </w:rPr>
              <w:t>比例</w:t>
            </w:r>
            <w:r>
              <w:rPr>
                <w:rFonts w:eastAsia="仿宋_GB2312"/>
                <w:color w:val="000000"/>
                <w:sz w:val="24"/>
              </w:rPr>
              <w:t>≥</w:t>
            </w:r>
            <w:r>
              <w:rPr>
                <w:rFonts w:eastAsia="仿宋_GB2312"/>
                <w:color w:val="000000"/>
                <w:sz w:val="24"/>
              </w:rPr>
              <w:t>30%</w:t>
            </w:r>
            <w:r>
              <w:rPr>
                <w:rFonts w:eastAsia="仿宋_GB2312" w:hAnsi="仿宋_GB2312"/>
                <w:color w:val="000000"/>
                <w:sz w:val="24"/>
              </w:rPr>
              <w:t>；具有工程实践背景教师</w:t>
            </w:r>
            <w:r>
              <w:rPr>
                <w:rFonts w:eastAsia="仿宋_GB2312"/>
                <w:color w:val="000000"/>
                <w:sz w:val="24"/>
              </w:rPr>
              <w:t>比例≥</w:t>
            </w:r>
            <w:r>
              <w:rPr>
                <w:rFonts w:eastAsia="仿宋_GB2312"/>
                <w:color w:val="000000"/>
                <w:sz w:val="24"/>
              </w:rPr>
              <w:t>80%</w:t>
            </w:r>
          </w:p>
        </w:tc>
        <w:tc>
          <w:tcPr>
            <w:tcW w:w="2697" w:type="dxa"/>
            <w:tcBorders>
              <w:righ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教授比例≥</w:t>
            </w:r>
            <w:r>
              <w:rPr>
                <w:rFonts w:eastAsia="仿宋_GB2312"/>
                <w:color w:val="000000"/>
                <w:sz w:val="24"/>
              </w:rPr>
              <w:t>15%</w:t>
            </w:r>
            <w:r>
              <w:rPr>
                <w:rFonts w:eastAsia="仿宋_GB2312"/>
                <w:color w:val="000000"/>
                <w:sz w:val="24"/>
              </w:rPr>
              <w:t>、副教授比例≥</w:t>
            </w:r>
            <w:r>
              <w:rPr>
                <w:rFonts w:eastAsia="仿宋_GB2312"/>
                <w:color w:val="000000"/>
                <w:sz w:val="24"/>
              </w:rPr>
              <w:t>30%</w:t>
            </w:r>
            <w:r>
              <w:rPr>
                <w:rFonts w:eastAsia="仿宋_GB2312"/>
                <w:color w:val="000000"/>
                <w:sz w:val="24"/>
              </w:rPr>
              <w:t>；博士比例≥</w:t>
            </w:r>
            <w:r>
              <w:rPr>
                <w:rFonts w:eastAsia="仿宋_GB2312"/>
                <w:color w:val="000000"/>
                <w:sz w:val="24"/>
              </w:rPr>
              <w:t>15%</w:t>
            </w:r>
            <w:r>
              <w:rPr>
                <w:rFonts w:eastAsia="仿宋_GB2312"/>
                <w:color w:val="000000"/>
                <w:sz w:val="24"/>
              </w:rPr>
              <w:t>；</w:t>
            </w:r>
            <w:r>
              <w:rPr>
                <w:rFonts w:eastAsia="仿宋_GB2312" w:hAnsi="仿宋_GB2312"/>
                <w:color w:val="000000"/>
                <w:sz w:val="24"/>
              </w:rPr>
              <w:t>海</w:t>
            </w:r>
            <w:proofErr w:type="gramStart"/>
            <w:r>
              <w:rPr>
                <w:rFonts w:eastAsia="仿宋_GB2312" w:hAnsi="仿宋_GB2312"/>
                <w:color w:val="000000"/>
                <w:sz w:val="24"/>
              </w:rPr>
              <w:t>归教师</w:t>
            </w:r>
            <w:proofErr w:type="gramEnd"/>
            <w:r>
              <w:rPr>
                <w:rFonts w:eastAsia="仿宋_GB2312"/>
                <w:color w:val="000000"/>
                <w:sz w:val="24"/>
              </w:rPr>
              <w:t>(</w:t>
            </w:r>
            <w:r>
              <w:rPr>
                <w:rFonts w:eastAsia="仿宋_GB2312" w:hAnsi="仿宋_GB2312"/>
                <w:color w:val="000000"/>
                <w:sz w:val="24"/>
              </w:rPr>
              <w:t>海外经历</w:t>
            </w:r>
            <w:r>
              <w:rPr>
                <w:rFonts w:eastAsia="仿宋_GB2312"/>
                <w:color w:val="000000"/>
                <w:sz w:val="24"/>
              </w:rPr>
              <w:t>6</w:t>
            </w:r>
            <w:r>
              <w:rPr>
                <w:rFonts w:eastAsia="仿宋_GB2312" w:hAnsi="仿宋_GB2312"/>
                <w:color w:val="000000"/>
                <w:sz w:val="24"/>
              </w:rPr>
              <w:t>个月以上</w:t>
            </w:r>
            <w:r>
              <w:rPr>
                <w:rFonts w:eastAsia="仿宋_GB2312"/>
                <w:color w:val="000000"/>
                <w:sz w:val="24"/>
              </w:rPr>
              <w:t>)</w:t>
            </w:r>
            <w:r>
              <w:rPr>
                <w:rFonts w:eastAsia="仿宋_GB2312"/>
                <w:sz w:val="24"/>
              </w:rPr>
              <w:t>比例</w:t>
            </w:r>
            <w:r>
              <w:rPr>
                <w:rFonts w:eastAsia="仿宋_GB2312"/>
                <w:color w:val="000000"/>
                <w:sz w:val="24"/>
              </w:rPr>
              <w:t>≥</w:t>
            </w:r>
            <w:r>
              <w:rPr>
                <w:rFonts w:eastAsia="仿宋_GB2312"/>
                <w:color w:val="000000"/>
                <w:sz w:val="24"/>
              </w:rPr>
              <w:t>15%</w:t>
            </w:r>
            <w:r>
              <w:rPr>
                <w:rFonts w:eastAsia="仿宋_GB2312" w:hAnsi="仿宋_GB2312"/>
                <w:color w:val="000000"/>
                <w:sz w:val="24"/>
              </w:rPr>
              <w:t>；具有工程实践背景教师</w:t>
            </w:r>
            <w:r>
              <w:rPr>
                <w:rFonts w:eastAsia="仿宋_GB2312"/>
                <w:color w:val="000000"/>
                <w:sz w:val="24"/>
              </w:rPr>
              <w:t>比例≥</w:t>
            </w:r>
            <w:r>
              <w:rPr>
                <w:rFonts w:eastAsia="仿宋_GB2312"/>
                <w:color w:val="000000"/>
                <w:sz w:val="24"/>
              </w:rPr>
              <w:t>80%</w:t>
            </w:r>
          </w:p>
        </w:tc>
        <w:tc>
          <w:tcPr>
            <w:tcW w:w="433" w:type="dxa"/>
            <w:tcBorders>
              <w:lef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</w:p>
        </w:tc>
        <w:tc>
          <w:tcPr>
            <w:tcW w:w="470" w:type="dxa"/>
            <w:tcBorders>
              <w:lef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390" w:type="dxa"/>
            <w:tcBorders>
              <w:lef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867" w:type="dxa"/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</w:tr>
      <w:tr w:rsidR="005A31B4" w:rsidTr="008C4F93">
        <w:trPr>
          <w:trHeight w:val="340"/>
        </w:trPr>
        <w:tc>
          <w:tcPr>
            <w:tcW w:w="861" w:type="dxa"/>
            <w:vMerge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  <w:tc>
          <w:tcPr>
            <w:tcW w:w="1170" w:type="dxa"/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pacing w:val="-4"/>
                <w:sz w:val="24"/>
              </w:rPr>
            </w:pPr>
            <w:r>
              <w:rPr>
                <w:rFonts w:eastAsia="仿宋_GB2312"/>
                <w:spacing w:val="-4"/>
                <w:sz w:val="24"/>
              </w:rPr>
              <w:t xml:space="preserve">1.4 </w:t>
            </w:r>
            <w:r>
              <w:rPr>
                <w:rFonts w:eastAsia="仿宋_GB2312"/>
                <w:spacing w:val="-4"/>
                <w:sz w:val="24"/>
              </w:rPr>
              <w:t>科研能力</w:t>
            </w:r>
          </w:p>
          <w:p w:rsidR="005A31B4" w:rsidRDefault="005A31B4" w:rsidP="008C4F93">
            <w:pPr>
              <w:spacing w:line="360" w:lineRule="auto"/>
              <w:rPr>
                <w:rFonts w:eastAsia="仿宋_GB2312" w:hint="default"/>
                <w:spacing w:val="-4"/>
                <w:sz w:val="24"/>
              </w:rPr>
            </w:pPr>
            <w:r>
              <w:rPr>
                <w:rFonts w:eastAsia="仿宋_GB2312"/>
                <w:spacing w:val="-4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3</w:t>
            </w:r>
            <w:r>
              <w:rPr>
                <w:rFonts w:eastAsia="仿宋_GB2312"/>
                <w:sz w:val="24"/>
              </w:rPr>
              <w:t>分）</w:t>
            </w:r>
          </w:p>
        </w:tc>
        <w:tc>
          <w:tcPr>
            <w:tcW w:w="2580" w:type="dxa"/>
            <w:tcBorders>
              <w:righ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教学科研型教师</w:t>
            </w:r>
            <w:r>
              <w:rPr>
                <w:rFonts w:eastAsia="仿宋_GB2312"/>
                <w:sz w:val="24"/>
              </w:rPr>
              <w:t>比例</w:t>
            </w:r>
            <w:r>
              <w:rPr>
                <w:rFonts w:eastAsia="仿宋_GB2312"/>
                <w:color w:val="000000"/>
                <w:sz w:val="24"/>
              </w:rPr>
              <w:t>≥</w:t>
            </w:r>
            <w:r>
              <w:rPr>
                <w:rFonts w:eastAsia="仿宋_GB2312"/>
                <w:color w:val="000000"/>
                <w:sz w:val="24"/>
              </w:rPr>
              <w:t>80%</w:t>
            </w:r>
            <w:r>
              <w:rPr>
                <w:rFonts w:eastAsia="仿宋_GB2312" w:hAnsi="仿宋_GB2312"/>
                <w:color w:val="000000"/>
                <w:sz w:val="24"/>
              </w:rPr>
              <w:t>；获得省级以上科技成果奖</w:t>
            </w:r>
            <w:r>
              <w:rPr>
                <w:rFonts w:eastAsia="仿宋_GB2312" w:hAnsi="仿宋_GB2312"/>
                <w:color w:val="000000"/>
                <w:sz w:val="24"/>
              </w:rPr>
              <w:t>1</w:t>
            </w:r>
            <w:r>
              <w:rPr>
                <w:rFonts w:eastAsia="仿宋_GB2312" w:hAnsi="仿宋_GB2312"/>
                <w:color w:val="000000"/>
                <w:sz w:val="24"/>
              </w:rPr>
              <w:t>项，或年获批省级以上科研项目</w:t>
            </w:r>
            <w:r>
              <w:rPr>
                <w:rFonts w:eastAsia="仿宋_GB2312" w:hAnsi="仿宋_GB2312"/>
                <w:color w:val="000000"/>
                <w:sz w:val="24"/>
              </w:rPr>
              <w:t>2</w:t>
            </w:r>
            <w:r>
              <w:rPr>
                <w:rFonts w:eastAsia="仿宋_GB2312" w:hAnsi="仿宋_GB2312"/>
                <w:color w:val="000000"/>
                <w:sz w:val="24"/>
              </w:rPr>
              <w:t>项，或年获得发明专利</w:t>
            </w:r>
            <w:r>
              <w:rPr>
                <w:rFonts w:eastAsia="仿宋_GB2312" w:hAnsi="仿宋_GB2312"/>
                <w:color w:val="000000"/>
                <w:sz w:val="24"/>
              </w:rPr>
              <w:t>2</w:t>
            </w:r>
            <w:r>
              <w:rPr>
                <w:rFonts w:eastAsia="仿宋_GB2312" w:hAnsi="仿宋_GB2312"/>
                <w:color w:val="000000"/>
                <w:sz w:val="24"/>
              </w:rPr>
              <w:t>项，</w:t>
            </w:r>
            <w:proofErr w:type="gramStart"/>
            <w:r>
              <w:rPr>
                <w:rFonts w:eastAsia="仿宋_GB2312" w:hAnsi="仿宋_GB2312"/>
                <w:color w:val="000000"/>
                <w:sz w:val="24"/>
              </w:rPr>
              <w:t>或年每</w:t>
            </w:r>
            <w:proofErr w:type="gramEnd"/>
            <w:r>
              <w:rPr>
                <w:rFonts w:eastAsia="仿宋_GB2312" w:hAnsi="仿宋_GB2312"/>
                <w:color w:val="000000"/>
                <w:sz w:val="24"/>
              </w:rPr>
              <w:t>5</w:t>
            </w:r>
            <w:r>
              <w:rPr>
                <w:rFonts w:eastAsia="仿宋_GB2312" w:hAnsi="仿宋_GB2312"/>
                <w:color w:val="000000"/>
                <w:sz w:val="24"/>
              </w:rPr>
              <w:t>人发表</w:t>
            </w:r>
            <w:r>
              <w:rPr>
                <w:rFonts w:eastAsia="仿宋_GB2312" w:hAnsi="仿宋_GB2312"/>
                <w:color w:val="000000"/>
                <w:sz w:val="24"/>
              </w:rPr>
              <w:t>EI</w:t>
            </w:r>
            <w:r>
              <w:rPr>
                <w:rFonts w:eastAsia="仿宋_GB2312" w:hAnsi="仿宋_GB2312"/>
                <w:color w:val="000000"/>
                <w:sz w:val="24"/>
              </w:rPr>
              <w:t>、</w:t>
            </w:r>
            <w:r>
              <w:rPr>
                <w:rFonts w:eastAsia="仿宋_GB2312" w:hAnsi="仿宋_GB2312"/>
                <w:color w:val="000000"/>
                <w:sz w:val="24"/>
              </w:rPr>
              <w:t>SCI</w:t>
            </w:r>
            <w:r>
              <w:rPr>
                <w:rFonts w:eastAsia="仿宋_GB2312" w:hAnsi="仿宋_GB2312"/>
                <w:color w:val="000000"/>
                <w:sz w:val="24"/>
              </w:rPr>
              <w:t>、</w:t>
            </w:r>
            <w:r>
              <w:rPr>
                <w:rFonts w:eastAsia="仿宋_GB2312" w:hAnsi="仿宋_GB2312"/>
                <w:color w:val="000000"/>
                <w:sz w:val="24"/>
              </w:rPr>
              <w:t>CSSCI</w:t>
            </w:r>
            <w:r>
              <w:rPr>
                <w:rFonts w:eastAsia="仿宋_GB2312" w:hAnsi="仿宋_GB2312"/>
                <w:color w:val="000000"/>
                <w:sz w:val="24"/>
              </w:rPr>
              <w:t>收录期刊论文不少于</w:t>
            </w:r>
            <w:r>
              <w:rPr>
                <w:rFonts w:eastAsia="仿宋_GB2312" w:hAnsi="仿宋_GB2312"/>
                <w:color w:val="000000"/>
                <w:sz w:val="24"/>
              </w:rPr>
              <w:t>1</w:t>
            </w:r>
            <w:r>
              <w:rPr>
                <w:rFonts w:eastAsia="仿宋_GB2312" w:hAnsi="仿宋_GB2312"/>
                <w:color w:val="000000"/>
                <w:sz w:val="24"/>
              </w:rPr>
              <w:t>篇，人均科研经费不低</w:t>
            </w:r>
            <w:r>
              <w:rPr>
                <w:rFonts w:eastAsia="仿宋_GB2312" w:hAnsi="仿宋_GB2312"/>
                <w:color w:val="000000"/>
                <w:sz w:val="24"/>
              </w:rPr>
              <w:lastRenderedPageBreak/>
              <w:t>于</w:t>
            </w:r>
            <w:r>
              <w:rPr>
                <w:rFonts w:eastAsia="仿宋_GB2312" w:hAnsi="仿宋_GB2312"/>
                <w:color w:val="000000"/>
                <w:sz w:val="24"/>
              </w:rPr>
              <w:t>5</w:t>
            </w:r>
            <w:r>
              <w:rPr>
                <w:rFonts w:eastAsia="仿宋_GB2312" w:hAnsi="仿宋_GB2312"/>
                <w:color w:val="000000"/>
                <w:sz w:val="24"/>
              </w:rPr>
              <w:t>万元（人文类</w:t>
            </w:r>
            <w:r>
              <w:rPr>
                <w:rFonts w:eastAsia="仿宋_GB2312" w:hAnsi="仿宋_GB2312"/>
                <w:color w:val="000000"/>
                <w:sz w:val="24"/>
              </w:rPr>
              <w:t>0.5</w:t>
            </w:r>
            <w:r>
              <w:rPr>
                <w:rFonts w:eastAsia="仿宋_GB2312" w:hAnsi="仿宋_GB2312"/>
                <w:color w:val="000000"/>
                <w:sz w:val="24"/>
              </w:rPr>
              <w:t>万元）。</w:t>
            </w:r>
          </w:p>
        </w:tc>
        <w:tc>
          <w:tcPr>
            <w:tcW w:w="2697" w:type="dxa"/>
            <w:tcBorders>
              <w:righ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lastRenderedPageBreak/>
              <w:t>教学科研型教师</w:t>
            </w:r>
            <w:r>
              <w:rPr>
                <w:rFonts w:eastAsia="仿宋_GB2312"/>
                <w:sz w:val="24"/>
              </w:rPr>
              <w:t>比例</w:t>
            </w:r>
            <w:r>
              <w:rPr>
                <w:rFonts w:eastAsia="仿宋_GB2312"/>
                <w:color w:val="000000"/>
                <w:sz w:val="24"/>
              </w:rPr>
              <w:t>≥</w:t>
            </w:r>
            <w:r>
              <w:rPr>
                <w:rFonts w:eastAsia="仿宋_GB2312"/>
                <w:color w:val="000000"/>
                <w:sz w:val="24"/>
              </w:rPr>
              <w:t>50%</w:t>
            </w:r>
            <w:r>
              <w:rPr>
                <w:rFonts w:eastAsia="仿宋_GB2312" w:hAnsi="仿宋_GB2312"/>
                <w:color w:val="000000"/>
                <w:sz w:val="24"/>
              </w:rPr>
              <w:t>；年获批省级以上科研项目</w:t>
            </w:r>
            <w:r>
              <w:rPr>
                <w:rFonts w:eastAsia="仿宋_GB2312" w:hAnsi="仿宋_GB2312"/>
                <w:color w:val="000000"/>
                <w:sz w:val="24"/>
              </w:rPr>
              <w:t>1</w:t>
            </w:r>
            <w:r>
              <w:rPr>
                <w:rFonts w:eastAsia="仿宋_GB2312" w:hAnsi="仿宋_GB2312"/>
                <w:color w:val="000000"/>
                <w:sz w:val="24"/>
              </w:rPr>
              <w:t>项，年获得发明专利</w:t>
            </w:r>
            <w:r>
              <w:rPr>
                <w:rFonts w:eastAsia="仿宋_GB2312" w:hAnsi="仿宋_GB2312"/>
                <w:color w:val="000000"/>
                <w:sz w:val="24"/>
              </w:rPr>
              <w:t>1</w:t>
            </w:r>
            <w:r>
              <w:rPr>
                <w:rFonts w:eastAsia="仿宋_GB2312" w:hAnsi="仿宋_GB2312"/>
                <w:color w:val="000000"/>
                <w:sz w:val="24"/>
              </w:rPr>
              <w:t>项，</w:t>
            </w:r>
            <w:proofErr w:type="gramStart"/>
            <w:r>
              <w:rPr>
                <w:rFonts w:eastAsia="仿宋_GB2312" w:hAnsi="仿宋_GB2312"/>
                <w:color w:val="000000"/>
                <w:sz w:val="24"/>
              </w:rPr>
              <w:t>年每</w:t>
            </w:r>
            <w:proofErr w:type="gramEnd"/>
            <w:r>
              <w:rPr>
                <w:rFonts w:eastAsia="仿宋_GB2312" w:hAnsi="仿宋_GB2312"/>
                <w:color w:val="000000"/>
                <w:sz w:val="24"/>
              </w:rPr>
              <w:t>10</w:t>
            </w:r>
            <w:r>
              <w:rPr>
                <w:rFonts w:eastAsia="仿宋_GB2312" w:hAnsi="仿宋_GB2312"/>
                <w:color w:val="000000"/>
                <w:sz w:val="24"/>
              </w:rPr>
              <w:t>人发表</w:t>
            </w:r>
            <w:r>
              <w:rPr>
                <w:rFonts w:eastAsia="仿宋_GB2312" w:hAnsi="仿宋_GB2312"/>
                <w:color w:val="000000"/>
                <w:sz w:val="24"/>
              </w:rPr>
              <w:t>EI</w:t>
            </w:r>
            <w:r>
              <w:rPr>
                <w:rFonts w:eastAsia="仿宋_GB2312" w:hAnsi="仿宋_GB2312"/>
                <w:color w:val="000000"/>
                <w:sz w:val="24"/>
              </w:rPr>
              <w:t>、</w:t>
            </w:r>
            <w:r>
              <w:rPr>
                <w:rFonts w:eastAsia="仿宋_GB2312" w:hAnsi="仿宋_GB2312"/>
                <w:color w:val="000000"/>
                <w:sz w:val="24"/>
              </w:rPr>
              <w:t>SCI</w:t>
            </w:r>
            <w:r>
              <w:rPr>
                <w:rFonts w:eastAsia="仿宋_GB2312" w:hAnsi="仿宋_GB2312"/>
                <w:color w:val="000000"/>
                <w:sz w:val="24"/>
              </w:rPr>
              <w:t>、</w:t>
            </w:r>
            <w:r>
              <w:rPr>
                <w:rFonts w:eastAsia="仿宋_GB2312" w:hAnsi="仿宋_GB2312"/>
                <w:color w:val="000000"/>
                <w:sz w:val="24"/>
              </w:rPr>
              <w:t>CSSCI</w:t>
            </w:r>
            <w:r>
              <w:rPr>
                <w:rFonts w:eastAsia="仿宋_GB2312" w:hAnsi="仿宋_GB2312"/>
                <w:color w:val="000000"/>
                <w:sz w:val="24"/>
              </w:rPr>
              <w:t>收录期刊论文不少于</w:t>
            </w:r>
            <w:r>
              <w:rPr>
                <w:rFonts w:eastAsia="仿宋_GB2312" w:hAnsi="仿宋_GB2312"/>
                <w:color w:val="000000"/>
                <w:sz w:val="24"/>
              </w:rPr>
              <w:t>0.5</w:t>
            </w:r>
            <w:r>
              <w:rPr>
                <w:rFonts w:eastAsia="仿宋_GB2312" w:hAnsi="仿宋_GB2312"/>
                <w:color w:val="000000"/>
                <w:sz w:val="24"/>
              </w:rPr>
              <w:t>篇，人均科研经费不低于</w:t>
            </w:r>
            <w:r>
              <w:rPr>
                <w:rFonts w:eastAsia="仿宋_GB2312" w:hAnsi="仿宋_GB2312"/>
                <w:color w:val="000000"/>
                <w:sz w:val="24"/>
              </w:rPr>
              <w:t>2</w:t>
            </w:r>
            <w:r>
              <w:rPr>
                <w:rFonts w:eastAsia="仿宋_GB2312" w:hAnsi="仿宋_GB2312"/>
                <w:color w:val="000000"/>
                <w:sz w:val="24"/>
              </w:rPr>
              <w:t>万元（人文类</w:t>
            </w:r>
            <w:r>
              <w:rPr>
                <w:rFonts w:eastAsia="仿宋_GB2312" w:hAnsi="仿宋_GB2312"/>
                <w:color w:val="000000"/>
                <w:sz w:val="24"/>
              </w:rPr>
              <w:t>0.2</w:t>
            </w:r>
            <w:r>
              <w:rPr>
                <w:rFonts w:eastAsia="仿宋_GB2312" w:hAnsi="仿宋_GB2312"/>
                <w:color w:val="000000"/>
                <w:sz w:val="24"/>
              </w:rPr>
              <w:t>万元）。</w:t>
            </w:r>
          </w:p>
        </w:tc>
        <w:tc>
          <w:tcPr>
            <w:tcW w:w="433" w:type="dxa"/>
            <w:tcBorders>
              <w:lef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470" w:type="dxa"/>
            <w:tcBorders>
              <w:lef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390" w:type="dxa"/>
            <w:tcBorders>
              <w:lef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867" w:type="dxa"/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</w:tr>
      <w:tr w:rsidR="005A31B4" w:rsidTr="008C4F93">
        <w:trPr>
          <w:trHeight w:val="900"/>
        </w:trPr>
        <w:tc>
          <w:tcPr>
            <w:tcW w:w="861" w:type="dxa"/>
            <w:vMerge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 xml:space="preserve">1.5 </w:t>
            </w:r>
            <w:r>
              <w:rPr>
                <w:rFonts w:eastAsia="仿宋_GB2312"/>
                <w:sz w:val="24"/>
              </w:rPr>
              <w:t>专业教师生师比（</w:t>
            </w:r>
            <w:r>
              <w:rPr>
                <w:rFonts w:eastAsia="仿宋_GB2312"/>
                <w:sz w:val="24"/>
              </w:rPr>
              <w:t>3</w:t>
            </w:r>
            <w:r>
              <w:rPr>
                <w:rFonts w:eastAsia="仿宋_GB2312"/>
                <w:sz w:val="24"/>
              </w:rPr>
              <w:t>分）</w:t>
            </w:r>
          </w:p>
        </w:tc>
        <w:tc>
          <w:tcPr>
            <w:tcW w:w="25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≤</w:t>
            </w:r>
            <w:r>
              <w:rPr>
                <w:rFonts w:eastAsia="仿宋_GB2312"/>
                <w:color w:val="000000"/>
                <w:sz w:val="24"/>
              </w:rPr>
              <w:t>25:1</w:t>
            </w:r>
          </w:p>
        </w:tc>
        <w:tc>
          <w:tcPr>
            <w:tcW w:w="2697" w:type="dxa"/>
            <w:tcBorders>
              <w:bottom w:val="single" w:sz="4" w:space="0" w:color="auto"/>
              <w:righ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≤</w:t>
            </w:r>
            <w:r>
              <w:rPr>
                <w:rFonts w:eastAsia="仿宋_GB2312"/>
                <w:color w:val="000000"/>
                <w:sz w:val="24"/>
              </w:rPr>
              <w:t>35:1</w:t>
            </w:r>
          </w:p>
        </w:tc>
        <w:tc>
          <w:tcPr>
            <w:tcW w:w="433" w:type="dxa"/>
            <w:tcBorders>
              <w:left w:val="thickThinSmallGap" w:sz="12" w:space="0" w:color="auto"/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867" w:type="dxa"/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</w:tr>
      <w:tr w:rsidR="005A31B4" w:rsidTr="008C4F93">
        <w:trPr>
          <w:trHeight w:val="1041"/>
        </w:trPr>
        <w:tc>
          <w:tcPr>
            <w:tcW w:w="861" w:type="dxa"/>
            <w:vMerge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 xml:space="preserve">1.6 </w:t>
            </w:r>
            <w:r>
              <w:rPr>
                <w:rFonts w:eastAsia="仿宋_GB2312"/>
                <w:sz w:val="24"/>
              </w:rPr>
              <w:t>专职实践教学师资</w:t>
            </w:r>
            <w:r>
              <w:rPr>
                <w:rFonts w:eastAsia="仿宋_GB2312"/>
                <w:sz w:val="24"/>
              </w:rPr>
              <w:t>*</w:t>
            </w: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3</w:t>
            </w:r>
            <w:r>
              <w:rPr>
                <w:rFonts w:eastAsia="仿宋_GB2312"/>
                <w:sz w:val="24"/>
              </w:rPr>
              <w:t>分）</w:t>
            </w:r>
          </w:p>
        </w:tc>
        <w:tc>
          <w:tcPr>
            <w:tcW w:w="25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高级职称教师≥</w:t>
            </w:r>
            <w:r>
              <w:rPr>
                <w:rFonts w:eastAsia="仿宋_GB2312"/>
                <w:color w:val="000000"/>
                <w:sz w:val="24"/>
              </w:rPr>
              <w:t>50%</w:t>
            </w:r>
            <w:r>
              <w:rPr>
                <w:rFonts w:eastAsia="仿宋_GB2312"/>
                <w:color w:val="000000"/>
                <w:sz w:val="24"/>
              </w:rPr>
              <w:t>；具有工程实践背景教师</w:t>
            </w:r>
            <w:r>
              <w:rPr>
                <w:rFonts w:eastAsia="仿宋_GB2312"/>
                <w:color w:val="000000"/>
                <w:sz w:val="24"/>
              </w:rPr>
              <w:t>=100%</w:t>
            </w:r>
          </w:p>
        </w:tc>
        <w:tc>
          <w:tcPr>
            <w:tcW w:w="2697" w:type="dxa"/>
            <w:tcBorders>
              <w:bottom w:val="single" w:sz="4" w:space="0" w:color="auto"/>
              <w:righ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高级职称教师</w:t>
            </w:r>
            <w:r>
              <w:rPr>
                <w:rFonts w:eastAsia="仿宋_GB2312"/>
                <w:color w:val="000000"/>
                <w:sz w:val="24"/>
              </w:rPr>
              <w:t>&lt;30%</w:t>
            </w:r>
            <w:r>
              <w:rPr>
                <w:rFonts w:eastAsia="仿宋_GB2312"/>
                <w:color w:val="000000"/>
                <w:sz w:val="24"/>
              </w:rPr>
              <w:t>；具有工程实践背景教师≥</w:t>
            </w:r>
            <w:r>
              <w:rPr>
                <w:rFonts w:eastAsia="仿宋_GB2312"/>
                <w:color w:val="000000"/>
                <w:sz w:val="24"/>
              </w:rPr>
              <w:t>80%</w:t>
            </w:r>
          </w:p>
        </w:tc>
        <w:tc>
          <w:tcPr>
            <w:tcW w:w="433" w:type="dxa"/>
            <w:tcBorders>
              <w:lef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470" w:type="dxa"/>
            <w:tcBorders>
              <w:lef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390" w:type="dxa"/>
            <w:tcBorders>
              <w:lef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867" w:type="dxa"/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</w:tr>
      <w:tr w:rsidR="005A31B4" w:rsidTr="008C4F93">
        <w:trPr>
          <w:trHeight w:val="347"/>
        </w:trPr>
        <w:tc>
          <w:tcPr>
            <w:tcW w:w="861" w:type="dxa"/>
            <w:vMerge/>
            <w:tcBorders>
              <w:bottom w:val="double" w:sz="4" w:space="0" w:color="auto"/>
            </w:tcBorders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 xml:space="preserve">1.7 </w:t>
            </w:r>
            <w:r>
              <w:rPr>
                <w:rFonts w:eastAsia="仿宋_GB2312"/>
                <w:sz w:val="24"/>
              </w:rPr>
              <w:t>教学水平</w:t>
            </w:r>
          </w:p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3</w:t>
            </w:r>
            <w:r>
              <w:rPr>
                <w:rFonts w:eastAsia="仿宋_GB2312"/>
                <w:sz w:val="24"/>
              </w:rPr>
              <w:t>分）</w:t>
            </w:r>
          </w:p>
        </w:tc>
        <w:tc>
          <w:tcPr>
            <w:tcW w:w="2580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获得省级及以上教学类奖励的教师≥</w:t>
            </w:r>
            <w:r>
              <w:rPr>
                <w:rFonts w:eastAsia="仿宋_GB2312"/>
                <w:sz w:val="24"/>
              </w:rPr>
              <w:t>30%</w:t>
            </w:r>
          </w:p>
        </w:tc>
        <w:tc>
          <w:tcPr>
            <w:tcW w:w="2697" w:type="dxa"/>
            <w:tcBorders>
              <w:bottom w:val="double" w:sz="4" w:space="0" w:color="auto"/>
              <w:righ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color w:val="000000"/>
                <w:sz w:val="24"/>
              </w:rPr>
            </w:pPr>
            <w:r>
              <w:rPr>
                <w:rFonts w:eastAsia="仿宋_GB2312"/>
                <w:sz w:val="24"/>
              </w:rPr>
              <w:t>获得省级及以上教学类奖励的教师≥</w:t>
            </w:r>
            <w:r>
              <w:rPr>
                <w:rFonts w:eastAsia="仿宋_GB2312"/>
                <w:sz w:val="24"/>
              </w:rPr>
              <w:t>10%</w:t>
            </w:r>
          </w:p>
        </w:tc>
        <w:tc>
          <w:tcPr>
            <w:tcW w:w="433" w:type="dxa"/>
            <w:tcBorders>
              <w:left w:val="thickThinSmallGap" w:sz="12" w:space="0" w:color="auto"/>
              <w:bottom w:val="doub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470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390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867" w:type="dxa"/>
            <w:tcBorders>
              <w:bottom w:val="doub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</w:tr>
      <w:tr w:rsidR="005A31B4" w:rsidTr="008C4F93">
        <w:trPr>
          <w:trHeight w:val="340"/>
        </w:trPr>
        <w:tc>
          <w:tcPr>
            <w:tcW w:w="861" w:type="dxa"/>
            <w:vMerge w:val="restart"/>
            <w:tcBorders>
              <w:top w:val="doub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b/>
                <w:bCs/>
                <w:sz w:val="24"/>
              </w:rPr>
            </w:pPr>
          </w:p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b/>
                <w:bCs/>
                <w:sz w:val="24"/>
              </w:rPr>
            </w:pPr>
          </w:p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b/>
                <w:bCs/>
                <w:sz w:val="24"/>
              </w:rPr>
            </w:pPr>
          </w:p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b/>
                <w:bCs/>
                <w:sz w:val="24"/>
              </w:rPr>
            </w:pPr>
          </w:p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（二）</w:t>
            </w:r>
          </w:p>
          <w:p w:rsidR="005A31B4" w:rsidRDefault="005A31B4" w:rsidP="008C4F93">
            <w:pPr>
              <w:spacing w:line="360" w:lineRule="auto"/>
              <w:ind w:leftChars="-20" w:left="-42" w:rightChars="-30" w:right="-63"/>
              <w:jc w:val="center"/>
              <w:rPr>
                <w:rFonts w:eastAsia="仿宋_GB2312" w:hint="default"/>
                <w:b/>
                <w:bCs/>
                <w:spacing w:val="-4"/>
                <w:sz w:val="24"/>
              </w:rPr>
            </w:pPr>
            <w:r>
              <w:rPr>
                <w:rFonts w:eastAsia="仿宋_GB2312"/>
                <w:b/>
                <w:bCs/>
                <w:spacing w:val="-4"/>
                <w:sz w:val="24"/>
              </w:rPr>
              <w:t>课程资源</w:t>
            </w:r>
          </w:p>
          <w:p w:rsidR="005A31B4" w:rsidRDefault="005A31B4" w:rsidP="008C4F93">
            <w:pPr>
              <w:spacing w:line="360" w:lineRule="auto"/>
              <w:ind w:leftChars="-20" w:left="-42" w:rightChars="-30" w:right="-63"/>
              <w:jc w:val="center"/>
              <w:rPr>
                <w:rFonts w:eastAsia="仿宋_GB2312" w:hint="default"/>
                <w:b/>
                <w:bCs/>
                <w:spacing w:val="-4"/>
                <w:sz w:val="24"/>
              </w:rPr>
            </w:pPr>
            <w:r>
              <w:rPr>
                <w:rFonts w:eastAsia="仿宋_GB2312"/>
                <w:b/>
                <w:bCs/>
                <w:spacing w:val="-4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20</w:t>
            </w:r>
            <w:r>
              <w:rPr>
                <w:rFonts w:eastAsia="仿宋_GB2312"/>
                <w:sz w:val="24"/>
              </w:rPr>
              <w:t>分</w:t>
            </w:r>
            <w:r>
              <w:rPr>
                <w:rFonts w:eastAsia="仿宋_GB2312"/>
                <w:b/>
                <w:bCs/>
                <w:spacing w:val="-4"/>
                <w:sz w:val="24"/>
              </w:rPr>
              <w:t>）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2.1</w:t>
            </w:r>
            <w:r>
              <w:rPr>
                <w:rFonts w:eastAsia="仿宋_GB2312"/>
                <w:sz w:val="24"/>
              </w:rPr>
              <w:t>课程建设</w:t>
            </w:r>
            <w:r>
              <w:rPr>
                <w:rFonts w:eastAsia="仿宋_GB2312"/>
                <w:sz w:val="24"/>
              </w:rPr>
              <w:t>*</w:t>
            </w:r>
          </w:p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5</w:t>
            </w:r>
            <w:r>
              <w:rPr>
                <w:rFonts w:eastAsia="仿宋_GB2312"/>
                <w:sz w:val="24"/>
              </w:rPr>
              <w:t>分）</w:t>
            </w:r>
          </w:p>
        </w:tc>
        <w:tc>
          <w:tcPr>
            <w:tcW w:w="2580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5A31B4" w:rsidRDefault="005A31B4" w:rsidP="008C4F93">
            <w:pPr>
              <w:pStyle w:val="a3"/>
              <w:spacing w:line="360" w:lineRule="auto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eastAsia="仿宋_GB2312"/>
                <w:color w:val="000000"/>
                <w:sz w:val="24"/>
                <w:szCs w:val="24"/>
              </w:rPr>
              <w:t>专业核心课程</w:t>
            </w:r>
            <w:r>
              <w:rPr>
                <w:rFonts w:eastAsia="仿宋_GB2312" w:hint="eastAsia"/>
                <w:color w:val="000000"/>
                <w:sz w:val="24"/>
                <w:szCs w:val="24"/>
              </w:rPr>
              <w:t>中，</w:t>
            </w:r>
            <w:r>
              <w:rPr>
                <w:rFonts w:eastAsia="仿宋_GB2312"/>
                <w:color w:val="000000"/>
                <w:sz w:val="24"/>
                <w:szCs w:val="24"/>
              </w:rPr>
              <w:t>建成国家级精品课程</w:t>
            </w:r>
            <w:r>
              <w:rPr>
                <w:rFonts w:eastAsia="仿宋_GB2312"/>
                <w:color w:val="000000"/>
                <w:sz w:val="24"/>
                <w:szCs w:val="24"/>
              </w:rPr>
              <w:t>1</w:t>
            </w:r>
            <w:r>
              <w:rPr>
                <w:rFonts w:eastAsia="仿宋_GB2312"/>
                <w:color w:val="000000"/>
                <w:sz w:val="24"/>
                <w:szCs w:val="24"/>
              </w:rPr>
              <w:t>门</w:t>
            </w:r>
            <w:r>
              <w:rPr>
                <w:rFonts w:eastAsia="仿宋_GB2312" w:hint="eastAsia"/>
                <w:color w:val="000000"/>
                <w:sz w:val="24"/>
                <w:szCs w:val="24"/>
              </w:rPr>
              <w:t>，</w:t>
            </w:r>
            <w:r>
              <w:rPr>
                <w:rFonts w:eastAsia="仿宋_GB2312"/>
                <w:color w:val="000000"/>
                <w:sz w:val="24"/>
                <w:szCs w:val="24"/>
              </w:rPr>
              <w:t>省级精品课程</w:t>
            </w:r>
            <w:r>
              <w:rPr>
                <w:rFonts w:eastAsia="仿宋_GB2312" w:hint="eastAsia"/>
                <w:color w:val="000000"/>
                <w:sz w:val="24"/>
                <w:szCs w:val="24"/>
              </w:rPr>
              <w:t>2</w:t>
            </w:r>
            <w:r>
              <w:rPr>
                <w:rFonts w:eastAsia="仿宋_GB2312"/>
                <w:color w:val="000000"/>
                <w:sz w:val="24"/>
                <w:szCs w:val="24"/>
              </w:rPr>
              <w:t>门，</w:t>
            </w:r>
            <w:r>
              <w:rPr>
                <w:rFonts w:eastAsia="仿宋_GB2312" w:hint="eastAsia"/>
                <w:color w:val="000000"/>
                <w:sz w:val="24"/>
                <w:szCs w:val="24"/>
              </w:rPr>
              <w:t>其它均为</w:t>
            </w:r>
            <w:r>
              <w:rPr>
                <w:rFonts w:eastAsia="仿宋_GB2312"/>
                <w:color w:val="000000"/>
                <w:sz w:val="24"/>
                <w:szCs w:val="24"/>
              </w:rPr>
              <w:t>校级精品课程</w:t>
            </w:r>
          </w:p>
        </w:tc>
        <w:tc>
          <w:tcPr>
            <w:tcW w:w="2697" w:type="dxa"/>
            <w:tcBorders>
              <w:top w:val="double" w:sz="4" w:space="0" w:color="auto"/>
              <w:right w:val="thickThinSmallGap" w:sz="12" w:space="0" w:color="auto"/>
            </w:tcBorders>
            <w:vAlign w:val="center"/>
          </w:tcPr>
          <w:p w:rsidR="005A31B4" w:rsidRDefault="005A31B4" w:rsidP="008C4F93">
            <w:pPr>
              <w:pStyle w:val="a3"/>
              <w:spacing w:line="360" w:lineRule="auto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eastAsia="仿宋_GB2312"/>
                <w:color w:val="000000"/>
                <w:sz w:val="24"/>
                <w:szCs w:val="24"/>
              </w:rPr>
              <w:t>专业核心课程</w:t>
            </w:r>
            <w:r>
              <w:rPr>
                <w:rFonts w:eastAsia="仿宋_GB2312" w:hint="eastAsia"/>
                <w:color w:val="000000"/>
                <w:sz w:val="24"/>
                <w:szCs w:val="24"/>
              </w:rPr>
              <w:t>中，</w:t>
            </w:r>
            <w:r>
              <w:rPr>
                <w:rFonts w:eastAsia="仿宋_GB2312"/>
                <w:color w:val="000000"/>
                <w:sz w:val="24"/>
                <w:szCs w:val="24"/>
              </w:rPr>
              <w:t>省级</w:t>
            </w:r>
            <w:r>
              <w:rPr>
                <w:rFonts w:eastAsia="仿宋_GB2312" w:hint="eastAsia"/>
                <w:color w:val="000000"/>
                <w:sz w:val="24"/>
                <w:szCs w:val="24"/>
              </w:rPr>
              <w:t>以上</w:t>
            </w:r>
            <w:r>
              <w:rPr>
                <w:rFonts w:eastAsia="仿宋_GB2312"/>
                <w:color w:val="000000"/>
                <w:sz w:val="24"/>
                <w:szCs w:val="24"/>
              </w:rPr>
              <w:t>精品课程</w:t>
            </w:r>
            <w:r>
              <w:rPr>
                <w:rFonts w:eastAsia="仿宋_GB2312" w:hint="eastAsia"/>
                <w:color w:val="000000"/>
                <w:sz w:val="24"/>
                <w:szCs w:val="24"/>
              </w:rPr>
              <w:t>2</w:t>
            </w:r>
            <w:r>
              <w:rPr>
                <w:rFonts w:eastAsia="仿宋_GB2312"/>
                <w:color w:val="000000"/>
                <w:sz w:val="24"/>
                <w:szCs w:val="24"/>
              </w:rPr>
              <w:t>门，</w:t>
            </w:r>
            <w:proofErr w:type="gramStart"/>
            <w:r>
              <w:rPr>
                <w:rFonts w:eastAsia="仿宋_GB2312" w:hint="eastAsia"/>
                <w:color w:val="000000"/>
                <w:sz w:val="24"/>
                <w:szCs w:val="24"/>
              </w:rPr>
              <w:t>且其它</w:t>
            </w:r>
            <w:proofErr w:type="gramEnd"/>
            <w:r>
              <w:rPr>
                <w:rFonts w:eastAsia="仿宋_GB2312" w:hint="eastAsia"/>
                <w:color w:val="000000"/>
                <w:sz w:val="24"/>
                <w:szCs w:val="24"/>
              </w:rPr>
              <w:t>课程的</w:t>
            </w:r>
            <w:r>
              <w:rPr>
                <w:rFonts w:eastAsia="仿宋_GB2312" w:hint="eastAsia"/>
                <w:color w:val="000000"/>
                <w:sz w:val="24"/>
                <w:szCs w:val="24"/>
              </w:rPr>
              <w:t>80%</w:t>
            </w:r>
            <w:r>
              <w:rPr>
                <w:rFonts w:eastAsia="仿宋_GB2312" w:hint="eastAsia"/>
                <w:color w:val="000000"/>
                <w:sz w:val="24"/>
                <w:szCs w:val="24"/>
              </w:rPr>
              <w:t>为</w:t>
            </w:r>
            <w:r>
              <w:rPr>
                <w:rFonts w:eastAsia="仿宋_GB2312"/>
                <w:color w:val="000000"/>
                <w:sz w:val="24"/>
                <w:szCs w:val="24"/>
              </w:rPr>
              <w:t>校级精品课程</w:t>
            </w:r>
          </w:p>
        </w:tc>
        <w:tc>
          <w:tcPr>
            <w:tcW w:w="433" w:type="dxa"/>
            <w:tcBorders>
              <w:top w:val="double" w:sz="4" w:space="0" w:color="auto"/>
              <w:lef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</w:p>
        </w:tc>
        <w:tc>
          <w:tcPr>
            <w:tcW w:w="470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390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867" w:type="dxa"/>
            <w:tcBorders>
              <w:top w:val="doub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</w:tr>
      <w:tr w:rsidR="005A31B4" w:rsidTr="008C4F93">
        <w:trPr>
          <w:trHeight w:val="340"/>
        </w:trPr>
        <w:tc>
          <w:tcPr>
            <w:tcW w:w="861" w:type="dxa"/>
            <w:vMerge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  <w:tc>
          <w:tcPr>
            <w:tcW w:w="1170" w:type="dxa"/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 xml:space="preserve">2.2 </w:t>
            </w:r>
            <w:r>
              <w:rPr>
                <w:rFonts w:eastAsia="仿宋_GB2312"/>
                <w:sz w:val="24"/>
              </w:rPr>
              <w:t>教材建设</w:t>
            </w:r>
            <w:r>
              <w:rPr>
                <w:rFonts w:eastAsia="仿宋_GB2312"/>
                <w:sz w:val="24"/>
              </w:rPr>
              <w:t>*</w:t>
            </w:r>
          </w:p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5</w:t>
            </w:r>
            <w:r>
              <w:rPr>
                <w:rFonts w:eastAsia="仿宋_GB2312"/>
                <w:sz w:val="24"/>
              </w:rPr>
              <w:t>分）</w:t>
            </w:r>
          </w:p>
        </w:tc>
        <w:tc>
          <w:tcPr>
            <w:tcW w:w="2580" w:type="dxa"/>
            <w:tcBorders>
              <w:righ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主编国家级精品教材</w:t>
            </w:r>
            <w:r>
              <w:rPr>
                <w:rFonts w:eastAsia="仿宋_GB2312"/>
                <w:color w:val="000000"/>
                <w:sz w:val="24"/>
              </w:rPr>
              <w:t>1</w:t>
            </w:r>
            <w:r>
              <w:rPr>
                <w:rFonts w:eastAsia="仿宋_GB2312"/>
                <w:color w:val="000000"/>
                <w:sz w:val="24"/>
              </w:rPr>
              <w:t>本，省级精品教材</w:t>
            </w:r>
            <w:r>
              <w:rPr>
                <w:rFonts w:eastAsia="仿宋_GB2312"/>
                <w:sz w:val="24"/>
              </w:rPr>
              <w:t>≥</w:t>
            </w: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eastAsia="仿宋_GB2312"/>
                <w:color w:val="000000"/>
                <w:sz w:val="24"/>
              </w:rPr>
              <w:t>本，校企合作编写特色教材</w:t>
            </w:r>
            <w:r>
              <w:rPr>
                <w:rFonts w:eastAsia="仿宋_GB2312"/>
                <w:sz w:val="24"/>
              </w:rPr>
              <w:t>≥</w:t>
            </w: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eastAsia="仿宋_GB2312"/>
                <w:color w:val="000000"/>
                <w:sz w:val="24"/>
              </w:rPr>
              <w:t>本，主编同类高校普遍选用的经典教材</w:t>
            </w:r>
          </w:p>
        </w:tc>
        <w:tc>
          <w:tcPr>
            <w:tcW w:w="2697" w:type="dxa"/>
            <w:tcBorders>
              <w:righ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省级精品教材</w:t>
            </w:r>
            <w:r>
              <w:rPr>
                <w:rFonts w:eastAsia="仿宋_GB2312"/>
                <w:sz w:val="24"/>
              </w:rPr>
              <w:t>≥</w:t>
            </w:r>
            <w:r>
              <w:rPr>
                <w:rFonts w:eastAsia="仿宋_GB2312"/>
                <w:color w:val="000000"/>
                <w:sz w:val="24"/>
              </w:rPr>
              <w:t>3</w:t>
            </w:r>
            <w:r>
              <w:rPr>
                <w:rFonts w:eastAsia="仿宋_GB2312"/>
                <w:color w:val="000000"/>
                <w:sz w:val="24"/>
              </w:rPr>
              <w:t>本，校企合作编写特色教材</w:t>
            </w:r>
            <w:r>
              <w:rPr>
                <w:rFonts w:eastAsia="仿宋_GB2312"/>
                <w:sz w:val="24"/>
              </w:rPr>
              <w:t>≥</w:t>
            </w: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eastAsia="仿宋_GB2312"/>
                <w:color w:val="000000"/>
                <w:sz w:val="24"/>
              </w:rPr>
              <w:t>本，主编同类高校普遍选用的经典教材</w:t>
            </w:r>
          </w:p>
        </w:tc>
        <w:tc>
          <w:tcPr>
            <w:tcW w:w="433" w:type="dxa"/>
            <w:tcBorders>
              <w:lef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</w:p>
        </w:tc>
        <w:tc>
          <w:tcPr>
            <w:tcW w:w="470" w:type="dxa"/>
            <w:tcBorders>
              <w:lef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390" w:type="dxa"/>
            <w:tcBorders>
              <w:lef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867" w:type="dxa"/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</w:tr>
      <w:tr w:rsidR="005A31B4" w:rsidTr="008C4F93">
        <w:trPr>
          <w:trHeight w:val="340"/>
        </w:trPr>
        <w:tc>
          <w:tcPr>
            <w:tcW w:w="861" w:type="dxa"/>
            <w:vMerge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  <w:tc>
          <w:tcPr>
            <w:tcW w:w="1170" w:type="dxa"/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 xml:space="preserve">2.3 </w:t>
            </w:r>
            <w:r>
              <w:rPr>
                <w:rFonts w:eastAsia="仿宋_GB2312"/>
                <w:sz w:val="24"/>
              </w:rPr>
              <w:t>教材选用</w:t>
            </w:r>
          </w:p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5</w:t>
            </w:r>
            <w:r>
              <w:rPr>
                <w:rFonts w:eastAsia="仿宋_GB2312"/>
                <w:sz w:val="24"/>
              </w:rPr>
              <w:t>分）</w:t>
            </w:r>
          </w:p>
        </w:tc>
        <w:tc>
          <w:tcPr>
            <w:tcW w:w="2580" w:type="dxa"/>
            <w:tcBorders>
              <w:righ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专业核心课程均采用与培养目标相符合的国家规划教材、省级及以上精品教材或公认特色鲜明的教材</w:t>
            </w:r>
          </w:p>
        </w:tc>
        <w:tc>
          <w:tcPr>
            <w:tcW w:w="2697" w:type="dxa"/>
            <w:tcBorders>
              <w:righ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专业核心课程不少于</w:t>
            </w:r>
            <w:r>
              <w:rPr>
                <w:rFonts w:eastAsia="仿宋_GB2312"/>
                <w:color w:val="000000"/>
                <w:sz w:val="24"/>
              </w:rPr>
              <w:t>80%</w:t>
            </w:r>
            <w:r>
              <w:rPr>
                <w:rFonts w:eastAsia="仿宋_GB2312"/>
                <w:color w:val="000000"/>
                <w:sz w:val="24"/>
              </w:rPr>
              <w:t>采用与培养目标相符合的国家规划教材、省级及以上精品教材或公认特色鲜明的教材</w:t>
            </w:r>
          </w:p>
        </w:tc>
        <w:tc>
          <w:tcPr>
            <w:tcW w:w="433" w:type="dxa"/>
            <w:tcBorders>
              <w:lef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</w:p>
        </w:tc>
        <w:tc>
          <w:tcPr>
            <w:tcW w:w="470" w:type="dxa"/>
            <w:tcBorders>
              <w:lef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390" w:type="dxa"/>
            <w:tcBorders>
              <w:lef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867" w:type="dxa"/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</w:tr>
      <w:tr w:rsidR="005A31B4" w:rsidTr="008C4F93">
        <w:trPr>
          <w:trHeight w:val="340"/>
        </w:trPr>
        <w:tc>
          <w:tcPr>
            <w:tcW w:w="861" w:type="dxa"/>
            <w:vMerge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  <w:tc>
          <w:tcPr>
            <w:tcW w:w="1170" w:type="dxa"/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 xml:space="preserve">2.4 </w:t>
            </w:r>
            <w:r>
              <w:rPr>
                <w:rFonts w:eastAsia="仿宋_GB2312"/>
                <w:sz w:val="24"/>
              </w:rPr>
              <w:t>资源</w:t>
            </w:r>
            <w:r>
              <w:rPr>
                <w:rFonts w:eastAsia="仿宋_GB2312"/>
                <w:sz w:val="24"/>
              </w:rPr>
              <w:lastRenderedPageBreak/>
              <w:t>引进</w:t>
            </w:r>
          </w:p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分）</w:t>
            </w:r>
          </w:p>
        </w:tc>
        <w:tc>
          <w:tcPr>
            <w:tcW w:w="2580" w:type="dxa"/>
            <w:tcBorders>
              <w:righ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lastRenderedPageBreak/>
              <w:t>使用国外优秀教材</w:t>
            </w:r>
            <w:r>
              <w:rPr>
                <w:rFonts w:eastAsia="仿宋_GB2312"/>
                <w:sz w:val="24"/>
              </w:rPr>
              <w:t>≥</w:t>
            </w: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eastAsia="仿宋_GB2312" w:hAnsi="仿宋_GB2312"/>
                <w:color w:val="000000"/>
                <w:sz w:val="24"/>
              </w:rPr>
              <w:lastRenderedPageBreak/>
              <w:t>本，双语课程</w:t>
            </w:r>
            <w:r>
              <w:rPr>
                <w:rFonts w:eastAsia="仿宋_GB2312"/>
                <w:sz w:val="24"/>
              </w:rPr>
              <w:t>≥</w:t>
            </w:r>
            <w:r>
              <w:rPr>
                <w:rFonts w:eastAsia="仿宋_GB2312"/>
                <w:color w:val="000000"/>
                <w:sz w:val="24"/>
              </w:rPr>
              <w:t>3</w:t>
            </w:r>
            <w:r>
              <w:rPr>
                <w:rFonts w:eastAsia="仿宋_GB2312" w:hAnsi="仿宋_GB2312"/>
                <w:color w:val="000000"/>
                <w:sz w:val="24"/>
              </w:rPr>
              <w:t>门</w:t>
            </w:r>
          </w:p>
        </w:tc>
        <w:tc>
          <w:tcPr>
            <w:tcW w:w="2697" w:type="dxa"/>
            <w:tcBorders>
              <w:righ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lastRenderedPageBreak/>
              <w:t>使用国外优秀教材</w:t>
            </w:r>
            <w:r>
              <w:rPr>
                <w:rFonts w:eastAsia="仿宋_GB2312"/>
                <w:sz w:val="24"/>
              </w:rPr>
              <w:t>≥</w:t>
            </w:r>
            <w:r>
              <w:rPr>
                <w:rFonts w:eastAsia="仿宋_GB2312"/>
                <w:color w:val="000000"/>
                <w:sz w:val="24"/>
              </w:rPr>
              <w:t>3</w:t>
            </w:r>
            <w:r>
              <w:rPr>
                <w:rFonts w:eastAsia="仿宋_GB2312" w:hAnsi="仿宋_GB2312"/>
                <w:color w:val="000000"/>
                <w:sz w:val="24"/>
              </w:rPr>
              <w:lastRenderedPageBreak/>
              <w:t>本，双语课程</w:t>
            </w:r>
            <w:r>
              <w:rPr>
                <w:rFonts w:eastAsia="仿宋_GB2312"/>
                <w:sz w:val="24"/>
              </w:rPr>
              <w:t>≥</w:t>
            </w:r>
            <w:r>
              <w:rPr>
                <w:rFonts w:eastAsia="仿宋_GB2312"/>
                <w:color w:val="000000"/>
                <w:sz w:val="24"/>
              </w:rPr>
              <w:t>2</w:t>
            </w:r>
            <w:r>
              <w:rPr>
                <w:rFonts w:eastAsia="仿宋_GB2312" w:hAnsi="仿宋_GB2312"/>
                <w:color w:val="000000"/>
                <w:sz w:val="24"/>
              </w:rPr>
              <w:t>门</w:t>
            </w:r>
          </w:p>
        </w:tc>
        <w:tc>
          <w:tcPr>
            <w:tcW w:w="433" w:type="dxa"/>
            <w:tcBorders>
              <w:lef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lastRenderedPageBreak/>
              <w:t>2</w:t>
            </w:r>
          </w:p>
        </w:tc>
        <w:tc>
          <w:tcPr>
            <w:tcW w:w="470" w:type="dxa"/>
            <w:tcBorders>
              <w:lef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390" w:type="dxa"/>
            <w:tcBorders>
              <w:lef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0</w:t>
            </w:r>
          </w:p>
        </w:tc>
        <w:tc>
          <w:tcPr>
            <w:tcW w:w="867" w:type="dxa"/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</w:tr>
      <w:tr w:rsidR="005A31B4" w:rsidTr="008C4F93">
        <w:trPr>
          <w:trHeight w:val="340"/>
        </w:trPr>
        <w:tc>
          <w:tcPr>
            <w:tcW w:w="861" w:type="dxa"/>
            <w:vMerge/>
            <w:tcBorders>
              <w:bottom w:val="double" w:sz="4" w:space="0" w:color="auto"/>
            </w:tcBorders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 xml:space="preserve">2.5 </w:t>
            </w:r>
            <w:r>
              <w:rPr>
                <w:rFonts w:eastAsia="仿宋_GB2312"/>
                <w:sz w:val="24"/>
              </w:rPr>
              <w:t>网络资源</w:t>
            </w:r>
          </w:p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3</w:t>
            </w:r>
            <w:r>
              <w:rPr>
                <w:rFonts w:eastAsia="仿宋_GB2312"/>
                <w:sz w:val="24"/>
              </w:rPr>
              <w:t>分）</w:t>
            </w:r>
          </w:p>
        </w:tc>
        <w:tc>
          <w:tcPr>
            <w:tcW w:w="2580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5A31B4" w:rsidRDefault="005A31B4" w:rsidP="008C4F93">
            <w:pPr>
              <w:pStyle w:val="a3"/>
              <w:spacing w:line="360" w:lineRule="auto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eastAsia="仿宋_GB2312"/>
                <w:color w:val="000000"/>
                <w:sz w:val="24"/>
                <w:szCs w:val="24"/>
              </w:rPr>
              <w:t>专业核心课程均</w:t>
            </w:r>
            <w:r>
              <w:rPr>
                <w:rFonts w:eastAsia="仿宋_GB2312" w:hint="eastAsia"/>
                <w:color w:val="000000"/>
                <w:sz w:val="24"/>
                <w:szCs w:val="24"/>
              </w:rPr>
              <w:t>建成</w:t>
            </w:r>
            <w:r>
              <w:rPr>
                <w:rFonts w:eastAsia="仿宋_GB2312"/>
                <w:color w:val="000000"/>
                <w:sz w:val="24"/>
                <w:szCs w:val="24"/>
              </w:rPr>
              <w:t>网络课程</w:t>
            </w:r>
          </w:p>
        </w:tc>
        <w:tc>
          <w:tcPr>
            <w:tcW w:w="2697" w:type="dxa"/>
            <w:tcBorders>
              <w:bottom w:val="double" w:sz="4" w:space="0" w:color="auto"/>
              <w:right w:val="thickThinSmallGap" w:sz="12" w:space="0" w:color="auto"/>
            </w:tcBorders>
            <w:vAlign w:val="center"/>
          </w:tcPr>
          <w:p w:rsidR="005A31B4" w:rsidRDefault="005A31B4" w:rsidP="008C4F93">
            <w:pPr>
              <w:pStyle w:val="a3"/>
              <w:spacing w:line="360" w:lineRule="auto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eastAsia="仿宋_GB2312"/>
                <w:color w:val="000000"/>
                <w:sz w:val="24"/>
                <w:szCs w:val="24"/>
              </w:rPr>
              <w:t>专业核心课程</w:t>
            </w:r>
            <w:r>
              <w:rPr>
                <w:rFonts w:eastAsia="仿宋_GB2312" w:hint="eastAsia"/>
                <w:color w:val="000000"/>
                <w:sz w:val="24"/>
              </w:rPr>
              <w:t>不少于</w:t>
            </w:r>
            <w:r>
              <w:rPr>
                <w:rFonts w:eastAsia="仿宋_GB2312" w:hint="eastAsia"/>
                <w:color w:val="000000"/>
                <w:sz w:val="24"/>
              </w:rPr>
              <w:t>80%</w:t>
            </w:r>
            <w:r>
              <w:rPr>
                <w:rFonts w:eastAsia="仿宋_GB2312" w:hint="eastAsia"/>
                <w:color w:val="000000"/>
                <w:sz w:val="24"/>
                <w:szCs w:val="24"/>
              </w:rPr>
              <w:t>建成</w:t>
            </w:r>
            <w:r>
              <w:rPr>
                <w:rFonts w:eastAsia="仿宋_GB2312"/>
                <w:color w:val="000000"/>
                <w:sz w:val="24"/>
                <w:szCs w:val="24"/>
              </w:rPr>
              <w:t>网络课程</w:t>
            </w:r>
          </w:p>
        </w:tc>
        <w:tc>
          <w:tcPr>
            <w:tcW w:w="433" w:type="dxa"/>
            <w:tcBorders>
              <w:left w:val="thickThinSmallGap" w:sz="12" w:space="0" w:color="auto"/>
              <w:bottom w:val="doub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470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390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867" w:type="dxa"/>
            <w:tcBorders>
              <w:bottom w:val="doub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</w:tr>
      <w:tr w:rsidR="005A31B4" w:rsidTr="008C4F93">
        <w:trPr>
          <w:trHeight w:val="340"/>
        </w:trPr>
        <w:tc>
          <w:tcPr>
            <w:tcW w:w="861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（三）</w:t>
            </w:r>
          </w:p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实践条件</w:t>
            </w:r>
          </w:p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10</w:t>
            </w:r>
            <w:r>
              <w:rPr>
                <w:rFonts w:eastAsia="仿宋_GB2312"/>
                <w:sz w:val="24"/>
              </w:rPr>
              <w:t>分</w:t>
            </w:r>
            <w:r>
              <w:rPr>
                <w:rFonts w:eastAsia="仿宋_GB2312"/>
                <w:b/>
                <w:bCs/>
                <w:sz w:val="24"/>
              </w:rPr>
              <w:t>）</w:t>
            </w:r>
          </w:p>
        </w:tc>
        <w:tc>
          <w:tcPr>
            <w:tcW w:w="117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 xml:space="preserve">3.1 </w:t>
            </w:r>
            <w:r>
              <w:rPr>
                <w:rFonts w:eastAsia="仿宋_GB2312"/>
                <w:sz w:val="24"/>
              </w:rPr>
              <w:t>专业实验室</w:t>
            </w:r>
          </w:p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5</w:t>
            </w:r>
            <w:r>
              <w:rPr>
                <w:rFonts w:eastAsia="仿宋_GB2312"/>
                <w:sz w:val="24"/>
              </w:rPr>
              <w:t>分）</w:t>
            </w:r>
          </w:p>
        </w:tc>
        <w:tc>
          <w:tcPr>
            <w:tcW w:w="2580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专业教学实验室水平一流，具有教学、科研、社会服务功能</w:t>
            </w:r>
            <w:proofErr w:type="gramStart"/>
            <w:r>
              <w:rPr>
                <w:rFonts w:eastAsia="仿宋_GB2312"/>
                <w:sz w:val="24"/>
              </w:rPr>
              <w:t>且开放</w:t>
            </w:r>
            <w:proofErr w:type="gramEnd"/>
            <w:r>
              <w:rPr>
                <w:rFonts w:eastAsia="仿宋_GB2312"/>
                <w:sz w:val="24"/>
              </w:rPr>
              <w:t>共享，建有国家级示范中心</w:t>
            </w:r>
          </w:p>
        </w:tc>
        <w:tc>
          <w:tcPr>
            <w:tcW w:w="2697" w:type="dxa"/>
            <w:tcBorders>
              <w:top w:val="doub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专业教学实验室水平一流，具有教学、科研、社会服务功能</w:t>
            </w:r>
            <w:proofErr w:type="gramStart"/>
            <w:r>
              <w:rPr>
                <w:rFonts w:eastAsia="仿宋_GB2312"/>
                <w:sz w:val="24"/>
              </w:rPr>
              <w:t>且开放</w:t>
            </w:r>
            <w:proofErr w:type="gramEnd"/>
            <w:r>
              <w:rPr>
                <w:rFonts w:eastAsia="仿宋_GB2312"/>
                <w:sz w:val="24"/>
              </w:rPr>
              <w:t>共享，建有省级示范中心</w:t>
            </w:r>
          </w:p>
        </w:tc>
        <w:tc>
          <w:tcPr>
            <w:tcW w:w="433" w:type="dxa"/>
            <w:tcBorders>
              <w:top w:val="double" w:sz="4" w:space="0" w:color="auto"/>
              <w:left w:val="thickThinSmallGap" w:sz="12" w:space="0" w:color="auto"/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</w:p>
        </w:tc>
        <w:tc>
          <w:tcPr>
            <w:tcW w:w="47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3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867" w:type="dxa"/>
            <w:tcBorders>
              <w:top w:val="doub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</w:tr>
      <w:tr w:rsidR="005A31B4" w:rsidTr="008C4F93">
        <w:trPr>
          <w:trHeight w:val="340"/>
        </w:trPr>
        <w:tc>
          <w:tcPr>
            <w:tcW w:w="861" w:type="dxa"/>
            <w:vMerge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  <w:tc>
          <w:tcPr>
            <w:tcW w:w="1170" w:type="dxa"/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 xml:space="preserve">3.2 </w:t>
            </w:r>
            <w:r>
              <w:rPr>
                <w:rFonts w:eastAsia="仿宋_GB2312"/>
                <w:sz w:val="24"/>
              </w:rPr>
              <w:t>实习基地</w:t>
            </w:r>
          </w:p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5</w:t>
            </w:r>
            <w:r>
              <w:rPr>
                <w:rFonts w:eastAsia="仿宋_GB2312"/>
                <w:sz w:val="24"/>
              </w:rPr>
              <w:t>分）</w:t>
            </w:r>
          </w:p>
        </w:tc>
        <w:tc>
          <w:tcPr>
            <w:tcW w:w="2580" w:type="dxa"/>
            <w:tcBorders>
              <w:righ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建有符合人才培养要求的校内外实习基地≥</w:t>
            </w:r>
            <w:r>
              <w:rPr>
                <w:rFonts w:eastAsia="仿宋_GB2312"/>
                <w:sz w:val="24"/>
              </w:rPr>
              <w:t>6</w:t>
            </w:r>
            <w:r>
              <w:rPr>
                <w:rFonts w:eastAsia="仿宋_GB2312"/>
                <w:sz w:val="24"/>
              </w:rPr>
              <w:t>个，拥有省级以上工程教育实践基地</w:t>
            </w:r>
          </w:p>
        </w:tc>
        <w:tc>
          <w:tcPr>
            <w:tcW w:w="2697" w:type="dxa"/>
            <w:tcBorders>
              <w:righ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建有符合人才培养要求的校内外实习基地≥</w:t>
            </w:r>
            <w:r>
              <w:rPr>
                <w:rFonts w:eastAsia="仿宋_GB2312"/>
                <w:sz w:val="24"/>
              </w:rPr>
              <w:t>6</w:t>
            </w:r>
            <w:r>
              <w:rPr>
                <w:rFonts w:eastAsia="仿宋_GB2312"/>
                <w:sz w:val="24"/>
              </w:rPr>
              <w:t>个</w:t>
            </w:r>
          </w:p>
        </w:tc>
        <w:tc>
          <w:tcPr>
            <w:tcW w:w="433" w:type="dxa"/>
            <w:tcBorders>
              <w:lef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</w:p>
        </w:tc>
        <w:tc>
          <w:tcPr>
            <w:tcW w:w="470" w:type="dxa"/>
            <w:tcBorders>
              <w:lef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390" w:type="dxa"/>
            <w:tcBorders>
              <w:lef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867" w:type="dxa"/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</w:tr>
      <w:tr w:rsidR="005A31B4" w:rsidTr="008C4F93">
        <w:trPr>
          <w:trHeight w:val="990"/>
        </w:trPr>
        <w:tc>
          <w:tcPr>
            <w:tcW w:w="861" w:type="dxa"/>
            <w:vMerge w:val="restart"/>
            <w:tcBorders>
              <w:top w:val="doub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（四）</w:t>
            </w:r>
          </w:p>
          <w:p w:rsidR="005A31B4" w:rsidRDefault="005A31B4" w:rsidP="008C4F93">
            <w:pPr>
              <w:spacing w:line="360" w:lineRule="auto"/>
              <w:rPr>
                <w:rFonts w:eastAsia="仿宋_GB2312" w:hint="default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培养模式</w:t>
            </w:r>
          </w:p>
          <w:p w:rsidR="005A31B4" w:rsidRDefault="005A31B4" w:rsidP="008C4F93">
            <w:pPr>
              <w:spacing w:line="360" w:lineRule="auto"/>
              <w:rPr>
                <w:rFonts w:eastAsia="仿宋_GB2312" w:hint="default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25</w:t>
            </w:r>
            <w:r>
              <w:rPr>
                <w:rFonts w:eastAsia="仿宋_GB2312"/>
                <w:sz w:val="24"/>
              </w:rPr>
              <w:t>分</w:t>
            </w:r>
            <w:r>
              <w:rPr>
                <w:rFonts w:eastAsia="仿宋_GB2312"/>
                <w:b/>
                <w:bCs/>
                <w:sz w:val="24"/>
              </w:rPr>
              <w:t>）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 xml:space="preserve">4.1 </w:t>
            </w:r>
            <w:r>
              <w:rPr>
                <w:rFonts w:eastAsia="仿宋_GB2312"/>
                <w:sz w:val="24"/>
              </w:rPr>
              <w:t>人才培养方案（</w:t>
            </w:r>
            <w:r>
              <w:rPr>
                <w:rFonts w:eastAsia="仿宋_GB2312"/>
                <w:sz w:val="24"/>
              </w:rPr>
              <w:t>5</w:t>
            </w:r>
            <w:r>
              <w:rPr>
                <w:rFonts w:eastAsia="仿宋_GB2312"/>
                <w:sz w:val="24"/>
              </w:rPr>
              <w:t>分）</w:t>
            </w:r>
          </w:p>
        </w:tc>
        <w:tc>
          <w:tcPr>
            <w:tcW w:w="2580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人才培养方案及课程体系特色鲜明，体现了“五化、五注重”</w:t>
            </w:r>
          </w:p>
        </w:tc>
        <w:tc>
          <w:tcPr>
            <w:tcW w:w="2697" w:type="dxa"/>
            <w:tcBorders>
              <w:top w:val="double" w:sz="4" w:space="0" w:color="auto"/>
              <w:righ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人才培养方案及课程体系特色不够鲜明，未充分体现“五化、五注重”</w:t>
            </w:r>
          </w:p>
        </w:tc>
        <w:tc>
          <w:tcPr>
            <w:tcW w:w="433" w:type="dxa"/>
            <w:tcBorders>
              <w:top w:val="double" w:sz="4" w:space="0" w:color="auto"/>
              <w:lef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</w:p>
        </w:tc>
        <w:tc>
          <w:tcPr>
            <w:tcW w:w="470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390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86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</w:tr>
      <w:tr w:rsidR="005A31B4" w:rsidTr="008C4F93">
        <w:trPr>
          <w:trHeight w:val="913"/>
        </w:trPr>
        <w:tc>
          <w:tcPr>
            <w:tcW w:w="861" w:type="dxa"/>
            <w:vMerge/>
            <w:tcBorders>
              <w:top w:val="doub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b/>
                <w:bCs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 xml:space="preserve">4.2 </w:t>
            </w:r>
            <w:r>
              <w:rPr>
                <w:rFonts w:eastAsia="仿宋_GB2312"/>
                <w:sz w:val="24"/>
              </w:rPr>
              <w:t>合作培养</w:t>
            </w:r>
          </w:p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5</w:t>
            </w:r>
            <w:r>
              <w:rPr>
                <w:rFonts w:eastAsia="仿宋_GB2312"/>
                <w:sz w:val="24"/>
              </w:rPr>
              <w:t>分）</w:t>
            </w:r>
          </w:p>
        </w:tc>
        <w:tc>
          <w:tcPr>
            <w:tcW w:w="25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参与人才培养的知名企业≥</w:t>
            </w:r>
            <w:r>
              <w:rPr>
                <w:rFonts w:eastAsia="仿宋_GB2312"/>
                <w:sz w:val="24"/>
              </w:rPr>
              <w:t>5</w:t>
            </w:r>
            <w:r>
              <w:rPr>
                <w:rFonts w:eastAsia="仿宋_GB2312"/>
                <w:sz w:val="24"/>
              </w:rPr>
              <w:t>家，企业培养学分占比≥</w:t>
            </w:r>
            <w:r>
              <w:rPr>
                <w:rFonts w:eastAsia="仿宋_GB2312"/>
                <w:sz w:val="24"/>
              </w:rPr>
              <w:t>10%</w:t>
            </w:r>
            <w:r>
              <w:rPr>
                <w:rFonts w:eastAsia="仿宋_GB2312"/>
                <w:sz w:val="24"/>
              </w:rPr>
              <w:t>，合作培养效果显著</w:t>
            </w:r>
          </w:p>
        </w:tc>
        <w:tc>
          <w:tcPr>
            <w:tcW w:w="2697" w:type="dxa"/>
            <w:tcBorders>
              <w:top w:val="single" w:sz="4" w:space="0" w:color="auto"/>
              <w:righ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参与人才培养的知名企业≥</w:t>
            </w:r>
            <w:r>
              <w:rPr>
                <w:rFonts w:eastAsia="仿宋_GB2312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家，企业培养学分占比≥</w:t>
            </w:r>
            <w:r>
              <w:rPr>
                <w:rFonts w:eastAsia="仿宋_GB2312"/>
                <w:sz w:val="24"/>
              </w:rPr>
              <w:t>5%</w:t>
            </w:r>
          </w:p>
        </w:tc>
        <w:tc>
          <w:tcPr>
            <w:tcW w:w="433" w:type="dxa"/>
            <w:tcBorders>
              <w:top w:val="single" w:sz="4" w:space="0" w:color="auto"/>
              <w:lef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</w:tr>
      <w:tr w:rsidR="005A31B4" w:rsidTr="008C4F93">
        <w:trPr>
          <w:trHeight w:val="475"/>
        </w:trPr>
        <w:tc>
          <w:tcPr>
            <w:tcW w:w="861" w:type="dxa"/>
            <w:vMerge/>
            <w:tcBorders>
              <w:top w:val="doub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b/>
                <w:bCs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 xml:space="preserve">4.3 </w:t>
            </w:r>
            <w:r>
              <w:rPr>
                <w:rFonts w:eastAsia="仿宋_GB2312"/>
                <w:sz w:val="24"/>
              </w:rPr>
              <w:t>创新能力培养（</w:t>
            </w:r>
            <w:r>
              <w:rPr>
                <w:rFonts w:eastAsia="仿宋_GB2312"/>
                <w:sz w:val="24"/>
              </w:rPr>
              <w:t>5</w:t>
            </w:r>
            <w:r>
              <w:rPr>
                <w:rFonts w:eastAsia="仿宋_GB2312"/>
                <w:sz w:val="24"/>
              </w:rPr>
              <w:t>分）</w:t>
            </w:r>
          </w:p>
        </w:tc>
        <w:tc>
          <w:tcPr>
            <w:tcW w:w="25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学生人均参加课外各</w:t>
            </w:r>
            <w:proofErr w:type="gramStart"/>
            <w:r>
              <w:rPr>
                <w:rFonts w:eastAsia="仿宋_GB2312"/>
                <w:sz w:val="24"/>
              </w:rPr>
              <w:t>类创新</w:t>
            </w:r>
            <w:proofErr w:type="gramEnd"/>
            <w:r>
              <w:rPr>
                <w:rFonts w:eastAsia="仿宋_GB2312"/>
                <w:sz w:val="24"/>
              </w:rPr>
              <w:t>与竞赛项目、教师科研项目、实验室建设项目等≥</w:t>
            </w:r>
            <w:r>
              <w:rPr>
                <w:rFonts w:eastAsia="仿宋_GB2312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项</w:t>
            </w:r>
          </w:p>
        </w:tc>
        <w:tc>
          <w:tcPr>
            <w:tcW w:w="2697" w:type="dxa"/>
            <w:tcBorders>
              <w:top w:val="single" w:sz="4" w:space="0" w:color="auto"/>
              <w:righ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学生人均参加课外各</w:t>
            </w:r>
            <w:proofErr w:type="gramStart"/>
            <w:r>
              <w:rPr>
                <w:rFonts w:eastAsia="仿宋_GB2312"/>
                <w:sz w:val="24"/>
              </w:rPr>
              <w:t>类创新</w:t>
            </w:r>
            <w:proofErr w:type="gramEnd"/>
            <w:r>
              <w:rPr>
                <w:rFonts w:eastAsia="仿宋_GB2312"/>
                <w:sz w:val="24"/>
              </w:rPr>
              <w:t>与竞赛项目、教师科研项目、实验室建设项目等≥</w:t>
            </w:r>
            <w:r>
              <w:rPr>
                <w:rFonts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项</w:t>
            </w:r>
          </w:p>
        </w:tc>
        <w:tc>
          <w:tcPr>
            <w:tcW w:w="433" w:type="dxa"/>
            <w:tcBorders>
              <w:top w:val="single" w:sz="4" w:space="0" w:color="auto"/>
              <w:lef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867" w:type="dxa"/>
            <w:tcBorders>
              <w:top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</w:tr>
      <w:tr w:rsidR="005A31B4" w:rsidTr="008C4F93">
        <w:trPr>
          <w:trHeight w:val="1016"/>
        </w:trPr>
        <w:tc>
          <w:tcPr>
            <w:tcW w:w="861" w:type="dxa"/>
            <w:vMerge/>
            <w:tcBorders>
              <w:bottom w:val="single" w:sz="4" w:space="0" w:color="auto"/>
            </w:tcBorders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4.4</w:t>
            </w:r>
            <w:r>
              <w:rPr>
                <w:rFonts w:eastAsia="仿宋_GB2312"/>
                <w:sz w:val="24"/>
              </w:rPr>
              <w:t>教学方法手段（</w:t>
            </w:r>
            <w:r>
              <w:rPr>
                <w:rFonts w:eastAsia="仿宋_GB2312"/>
                <w:sz w:val="24"/>
              </w:rPr>
              <w:t>3</w:t>
            </w:r>
            <w:r>
              <w:rPr>
                <w:rFonts w:eastAsia="仿宋_GB2312"/>
                <w:sz w:val="24"/>
              </w:rPr>
              <w:t>分）</w:t>
            </w:r>
          </w:p>
        </w:tc>
        <w:tc>
          <w:tcPr>
            <w:tcW w:w="25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教学方法与手段先进且合理运用</w:t>
            </w:r>
          </w:p>
        </w:tc>
        <w:tc>
          <w:tcPr>
            <w:tcW w:w="2697" w:type="dxa"/>
            <w:tcBorders>
              <w:bottom w:val="single" w:sz="4" w:space="0" w:color="auto"/>
              <w:righ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教学方法与手段不够先进、合理</w:t>
            </w:r>
          </w:p>
        </w:tc>
        <w:tc>
          <w:tcPr>
            <w:tcW w:w="433" w:type="dxa"/>
            <w:tcBorders>
              <w:left w:val="thickThinSmallGap" w:sz="12" w:space="0" w:color="auto"/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867" w:type="dxa"/>
            <w:vMerge w:val="restart"/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</w:tr>
      <w:tr w:rsidR="005A31B4" w:rsidTr="008C4F93">
        <w:trPr>
          <w:trHeight w:val="373"/>
        </w:trPr>
        <w:tc>
          <w:tcPr>
            <w:tcW w:w="861" w:type="dxa"/>
            <w:vMerge/>
            <w:tcBorders>
              <w:bottom w:val="single" w:sz="4" w:space="0" w:color="auto"/>
            </w:tcBorders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 xml:space="preserve">4.5 </w:t>
            </w:r>
            <w:r>
              <w:rPr>
                <w:rFonts w:eastAsia="仿宋_GB2312"/>
                <w:sz w:val="24"/>
              </w:rPr>
              <w:t>教学</w:t>
            </w:r>
            <w:r>
              <w:rPr>
                <w:rFonts w:eastAsia="仿宋_GB2312"/>
                <w:sz w:val="24"/>
              </w:rPr>
              <w:lastRenderedPageBreak/>
              <w:t>研究与教学改革（</w:t>
            </w:r>
            <w:r>
              <w:rPr>
                <w:rFonts w:eastAsia="仿宋_GB2312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分）</w:t>
            </w:r>
          </w:p>
        </w:tc>
        <w:tc>
          <w:tcPr>
            <w:tcW w:w="25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lastRenderedPageBreak/>
              <w:t>有省级以上教学研究</w:t>
            </w:r>
            <w:r>
              <w:rPr>
                <w:rFonts w:eastAsia="仿宋_GB2312"/>
                <w:sz w:val="24"/>
              </w:rPr>
              <w:lastRenderedPageBreak/>
              <w:t>与教学改革项目</w:t>
            </w:r>
          </w:p>
        </w:tc>
        <w:tc>
          <w:tcPr>
            <w:tcW w:w="2697" w:type="dxa"/>
            <w:tcBorders>
              <w:bottom w:val="single" w:sz="4" w:space="0" w:color="auto"/>
              <w:righ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lastRenderedPageBreak/>
              <w:t>有校级以上教学研究与</w:t>
            </w:r>
            <w:r>
              <w:rPr>
                <w:rFonts w:eastAsia="仿宋_GB2312"/>
                <w:sz w:val="24"/>
              </w:rPr>
              <w:lastRenderedPageBreak/>
              <w:t>教学改革项目</w:t>
            </w:r>
          </w:p>
        </w:tc>
        <w:tc>
          <w:tcPr>
            <w:tcW w:w="433" w:type="dxa"/>
            <w:tcBorders>
              <w:left w:val="thickThinSmallGap" w:sz="12" w:space="0" w:color="auto"/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lastRenderedPageBreak/>
              <w:t>2</w:t>
            </w:r>
          </w:p>
        </w:tc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0</w:t>
            </w:r>
          </w:p>
        </w:tc>
        <w:tc>
          <w:tcPr>
            <w:tcW w:w="867" w:type="dxa"/>
            <w:vMerge/>
            <w:tcBorders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</w:tr>
      <w:tr w:rsidR="005A31B4" w:rsidTr="008C4F93">
        <w:trPr>
          <w:trHeight w:val="340"/>
        </w:trPr>
        <w:tc>
          <w:tcPr>
            <w:tcW w:w="861" w:type="dxa"/>
            <w:vMerge/>
            <w:tcBorders>
              <w:bottom w:val="single" w:sz="4" w:space="0" w:color="auto"/>
            </w:tcBorders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4.6</w:t>
            </w:r>
            <w:r>
              <w:rPr>
                <w:rFonts w:eastAsia="仿宋_GB2312"/>
                <w:sz w:val="24"/>
              </w:rPr>
              <w:t>评价方式</w:t>
            </w:r>
          </w:p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5</w:t>
            </w:r>
            <w:r>
              <w:rPr>
                <w:rFonts w:eastAsia="仿宋_GB2312"/>
                <w:sz w:val="24"/>
              </w:rPr>
              <w:t>分）</w:t>
            </w:r>
          </w:p>
        </w:tc>
        <w:tc>
          <w:tcPr>
            <w:tcW w:w="25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实施多元化、多样性学生学习评价方式的课程≥</w:t>
            </w:r>
            <w:r>
              <w:rPr>
                <w:rFonts w:eastAsia="仿宋_GB2312"/>
                <w:sz w:val="24"/>
              </w:rPr>
              <w:t>5</w:t>
            </w:r>
            <w:r>
              <w:rPr>
                <w:rFonts w:eastAsia="仿宋_GB2312"/>
                <w:sz w:val="24"/>
              </w:rPr>
              <w:t>门</w:t>
            </w:r>
          </w:p>
        </w:tc>
        <w:tc>
          <w:tcPr>
            <w:tcW w:w="2697" w:type="dxa"/>
            <w:tcBorders>
              <w:bottom w:val="single" w:sz="4" w:space="0" w:color="auto"/>
              <w:righ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实施多元化、多样性学生学习评价方式的课程≥</w:t>
            </w:r>
            <w:r>
              <w:rPr>
                <w:rFonts w:eastAsia="仿宋_GB2312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门</w:t>
            </w:r>
          </w:p>
        </w:tc>
        <w:tc>
          <w:tcPr>
            <w:tcW w:w="433" w:type="dxa"/>
            <w:tcBorders>
              <w:left w:val="thickThinSmallGap" w:sz="12" w:space="0" w:color="auto"/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</w:p>
        </w:tc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</w:tr>
      <w:tr w:rsidR="005A31B4" w:rsidTr="008C4F93">
        <w:trPr>
          <w:trHeight w:val="340"/>
        </w:trPr>
        <w:tc>
          <w:tcPr>
            <w:tcW w:w="861" w:type="dxa"/>
            <w:vMerge w:val="restart"/>
            <w:tcBorders>
              <w:top w:val="doub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（五）</w:t>
            </w:r>
          </w:p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培养质量与社会影响</w:t>
            </w:r>
          </w:p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20</w:t>
            </w:r>
            <w:r>
              <w:rPr>
                <w:rFonts w:eastAsia="仿宋_GB2312"/>
                <w:sz w:val="24"/>
              </w:rPr>
              <w:t>分</w:t>
            </w:r>
            <w:r>
              <w:rPr>
                <w:rFonts w:eastAsia="仿宋_GB2312"/>
                <w:b/>
                <w:bCs/>
                <w:sz w:val="24"/>
              </w:rPr>
              <w:t>）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5.1</w:t>
            </w:r>
            <w:r>
              <w:rPr>
                <w:rFonts w:eastAsia="仿宋_GB2312"/>
                <w:sz w:val="24"/>
              </w:rPr>
              <w:t>成果奖（</w:t>
            </w:r>
            <w:r>
              <w:rPr>
                <w:rFonts w:eastAsia="仿宋_GB2312"/>
                <w:sz w:val="24"/>
              </w:rPr>
              <w:t>3</w:t>
            </w:r>
            <w:r>
              <w:rPr>
                <w:rFonts w:eastAsia="仿宋_GB2312"/>
                <w:sz w:val="24"/>
              </w:rPr>
              <w:t>分）</w:t>
            </w:r>
          </w:p>
        </w:tc>
        <w:tc>
          <w:tcPr>
            <w:tcW w:w="2580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获得省级及以上教学成果奖≥</w:t>
            </w:r>
            <w:r>
              <w:rPr>
                <w:rFonts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项</w:t>
            </w:r>
          </w:p>
        </w:tc>
        <w:tc>
          <w:tcPr>
            <w:tcW w:w="2697" w:type="dxa"/>
            <w:tcBorders>
              <w:top w:val="double" w:sz="4" w:space="0" w:color="auto"/>
              <w:righ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获得校级及以上教学成果奖≥</w:t>
            </w:r>
            <w:r>
              <w:rPr>
                <w:rFonts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项</w:t>
            </w:r>
          </w:p>
        </w:tc>
        <w:tc>
          <w:tcPr>
            <w:tcW w:w="433" w:type="dxa"/>
            <w:tcBorders>
              <w:top w:val="double" w:sz="4" w:space="0" w:color="auto"/>
              <w:lef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470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390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867" w:type="dxa"/>
            <w:tcBorders>
              <w:top w:val="doub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</w:tr>
      <w:tr w:rsidR="005A31B4" w:rsidTr="008C4F93">
        <w:trPr>
          <w:trHeight w:val="874"/>
        </w:trPr>
        <w:tc>
          <w:tcPr>
            <w:tcW w:w="861" w:type="dxa"/>
            <w:vMerge/>
            <w:tcBorders>
              <w:bottom w:val="single" w:sz="4" w:space="0" w:color="auto"/>
            </w:tcBorders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 xml:space="preserve">5.2 </w:t>
            </w:r>
            <w:r>
              <w:rPr>
                <w:rFonts w:eastAsia="仿宋_GB2312"/>
                <w:sz w:val="24"/>
              </w:rPr>
              <w:t>毕业设计</w:t>
            </w:r>
          </w:p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分）</w:t>
            </w:r>
          </w:p>
        </w:tc>
        <w:tc>
          <w:tcPr>
            <w:tcW w:w="25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毕业设计</w:t>
            </w:r>
            <w:r>
              <w:rPr>
                <w:rFonts w:eastAsia="仿宋_GB2312"/>
                <w:sz w:val="24"/>
              </w:rPr>
              <w:t>(</w:t>
            </w:r>
            <w:r>
              <w:rPr>
                <w:rFonts w:eastAsia="仿宋_GB2312"/>
                <w:sz w:val="24"/>
              </w:rPr>
              <w:t>论文</w:t>
            </w:r>
            <w:r>
              <w:rPr>
                <w:rFonts w:eastAsia="仿宋_GB2312"/>
                <w:sz w:val="24"/>
              </w:rPr>
              <w:t>)</w:t>
            </w:r>
            <w:r>
              <w:rPr>
                <w:rFonts w:eastAsia="仿宋_GB2312"/>
                <w:sz w:val="24"/>
              </w:rPr>
              <w:t>真题真</w:t>
            </w:r>
            <w:proofErr w:type="gramStart"/>
            <w:r>
              <w:rPr>
                <w:rFonts w:eastAsia="仿宋_GB2312"/>
                <w:sz w:val="24"/>
              </w:rPr>
              <w:t>做比例</w:t>
            </w:r>
            <w:proofErr w:type="gramEnd"/>
            <w:r>
              <w:rPr>
                <w:rFonts w:eastAsia="仿宋_GB2312"/>
                <w:sz w:val="24"/>
              </w:rPr>
              <w:t>≥</w:t>
            </w:r>
            <w:r>
              <w:rPr>
                <w:rFonts w:eastAsia="仿宋_GB2312"/>
                <w:sz w:val="24"/>
              </w:rPr>
              <w:t>80%</w:t>
            </w:r>
            <w:r>
              <w:rPr>
                <w:rFonts w:eastAsia="仿宋_GB2312"/>
                <w:sz w:val="24"/>
              </w:rPr>
              <w:t>，年度省级优秀毕业设计</w:t>
            </w:r>
            <w:r>
              <w:rPr>
                <w:rFonts w:eastAsia="仿宋_GB2312"/>
                <w:sz w:val="24"/>
              </w:rPr>
              <w:t>(</w:t>
            </w:r>
            <w:r>
              <w:rPr>
                <w:rFonts w:eastAsia="仿宋_GB2312"/>
                <w:sz w:val="24"/>
              </w:rPr>
              <w:t>论文</w:t>
            </w:r>
            <w:r>
              <w:rPr>
                <w:rFonts w:eastAsia="仿宋_GB2312"/>
                <w:sz w:val="24"/>
              </w:rPr>
              <w:t>)</w:t>
            </w:r>
            <w:r>
              <w:rPr>
                <w:rFonts w:eastAsia="仿宋_GB2312"/>
                <w:sz w:val="24"/>
              </w:rPr>
              <w:t>≥</w:t>
            </w:r>
            <w:r>
              <w:rPr>
                <w:rFonts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项</w:t>
            </w:r>
            <w:r>
              <w:rPr>
                <w:rFonts w:eastAsia="仿宋_GB2312"/>
                <w:sz w:val="24"/>
              </w:rPr>
              <w:t>/500</w:t>
            </w:r>
            <w:r>
              <w:rPr>
                <w:rFonts w:eastAsia="仿宋_GB2312"/>
                <w:sz w:val="24"/>
              </w:rPr>
              <w:t>人。</w:t>
            </w:r>
          </w:p>
        </w:tc>
        <w:tc>
          <w:tcPr>
            <w:tcW w:w="2697" w:type="dxa"/>
            <w:tcBorders>
              <w:bottom w:val="single" w:sz="4" w:space="0" w:color="auto"/>
              <w:righ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毕业设计</w:t>
            </w:r>
            <w:r>
              <w:rPr>
                <w:rFonts w:eastAsia="仿宋_GB2312"/>
                <w:sz w:val="24"/>
              </w:rPr>
              <w:t>(</w:t>
            </w:r>
            <w:r>
              <w:rPr>
                <w:rFonts w:eastAsia="仿宋_GB2312"/>
                <w:sz w:val="24"/>
              </w:rPr>
              <w:t>论文</w:t>
            </w:r>
            <w:r>
              <w:rPr>
                <w:rFonts w:eastAsia="仿宋_GB2312"/>
                <w:sz w:val="24"/>
              </w:rPr>
              <w:t>)</w:t>
            </w:r>
            <w:r>
              <w:rPr>
                <w:rFonts w:eastAsia="仿宋_GB2312"/>
                <w:sz w:val="24"/>
              </w:rPr>
              <w:t>真题真</w:t>
            </w:r>
            <w:proofErr w:type="gramStart"/>
            <w:r>
              <w:rPr>
                <w:rFonts w:eastAsia="仿宋_GB2312"/>
                <w:sz w:val="24"/>
              </w:rPr>
              <w:t>做比例</w:t>
            </w:r>
            <w:proofErr w:type="gramEnd"/>
            <w:r>
              <w:rPr>
                <w:rFonts w:eastAsia="仿宋_GB2312"/>
                <w:sz w:val="24"/>
              </w:rPr>
              <w:t>≥</w:t>
            </w:r>
            <w:r>
              <w:rPr>
                <w:rFonts w:eastAsia="仿宋_GB2312"/>
                <w:sz w:val="24"/>
              </w:rPr>
              <w:t>80%</w:t>
            </w:r>
            <w:r>
              <w:rPr>
                <w:rFonts w:eastAsia="仿宋_GB2312"/>
                <w:sz w:val="24"/>
              </w:rPr>
              <w:t>，年度省级优秀毕业设计</w:t>
            </w:r>
            <w:r>
              <w:rPr>
                <w:rFonts w:eastAsia="仿宋_GB2312"/>
                <w:sz w:val="24"/>
              </w:rPr>
              <w:t>(</w:t>
            </w:r>
            <w:r>
              <w:rPr>
                <w:rFonts w:eastAsia="仿宋_GB2312"/>
                <w:sz w:val="24"/>
              </w:rPr>
              <w:t>论文</w:t>
            </w:r>
            <w:r>
              <w:rPr>
                <w:rFonts w:eastAsia="仿宋_GB2312"/>
                <w:sz w:val="24"/>
              </w:rPr>
              <w:t xml:space="preserve">) </w:t>
            </w:r>
            <w:r>
              <w:rPr>
                <w:rFonts w:eastAsia="仿宋_GB2312"/>
                <w:sz w:val="24"/>
              </w:rPr>
              <w:t>≥</w:t>
            </w:r>
            <w:r>
              <w:rPr>
                <w:rFonts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项</w:t>
            </w:r>
            <w:r>
              <w:rPr>
                <w:rFonts w:eastAsia="仿宋_GB2312"/>
                <w:sz w:val="24"/>
              </w:rPr>
              <w:t>/1000</w:t>
            </w:r>
            <w:r>
              <w:rPr>
                <w:rFonts w:eastAsia="仿宋_GB2312"/>
                <w:sz w:val="24"/>
              </w:rPr>
              <w:t>人。</w:t>
            </w:r>
          </w:p>
        </w:tc>
        <w:tc>
          <w:tcPr>
            <w:tcW w:w="433" w:type="dxa"/>
            <w:tcBorders>
              <w:left w:val="thickThinSmallGap" w:sz="12" w:space="0" w:color="auto"/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0</w:t>
            </w:r>
          </w:p>
        </w:tc>
        <w:tc>
          <w:tcPr>
            <w:tcW w:w="867" w:type="dxa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</w:tr>
      <w:tr w:rsidR="005A31B4" w:rsidTr="008C4F93">
        <w:trPr>
          <w:trHeight w:val="514"/>
        </w:trPr>
        <w:tc>
          <w:tcPr>
            <w:tcW w:w="861" w:type="dxa"/>
            <w:vMerge/>
            <w:tcBorders>
              <w:bottom w:val="single" w:sz="4" w:space="0" w:color="auto"/>
            </w:tcBorders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5.3</w:t>
            </w:r>
            <w:r>
              <w:rPr>
                <w:rFonts w:eastAsia="仿宋_GB2312"/>
                <w:sz w:val="24"/>
              </w:rPr>
              <w:t>发展潜力</w:t>
            </w:r>
          </w:p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3</w:t>
            </w:r>
            <w:r>
              <w:rPr>
                <w:rFonts w:eastAsia="仿宋_GB2312"/>
                <w:sz w:val="24"/>
              </w:rPr>
              <w:t>分）</w:t>
            </w:r>
          </w:p>
        </w:tc>
        <w:tc>
          <w:tcPr>
            <w:tcW w:w="25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考研升学率≥</w:t>
            </w:r>
            <w:r>
              <w:rPr>
                <w:rFonts w:eastAsia="仿宋_GB2312"/>
                <w:sz w:val="24"/>
              </w:rPr>
              <w:t>20%</w:t>
            </w:r>
            <w:r>
              <w:rPr>
                <w:rFonts w:eastAsia="仿宋_GB2312"/>
                <w:sz w:val="24"/>
              </w:rPr>
              <w:t>，第二学位率≥</w:t>
            </w:r>
            <w:r>
              <w:rPr>
                <w:rFonts w:eastAsia="仿宋_GB2312"/>
                <w:sz w:val="24"/>
              </w:rPr>
              <w:t>10%</w:t>
            </w:r>
            <w:r>
              <w:rPr>
                <w:rFonts w:eastAsia="仿宋_GB2312"/>
                <w:sz w:val="24"/>
              </w:rPr>
              <w:t>，赴海外学习学生占比≥</w:t>
            </w:r>
            <w:r>
              <w:rPr>
                <w:rFonts w:eastAsia="仿宋_GB2312"/>
                <w:sz w:val="24"/>
              </w:rPr>
              <w:t>10%</w:t>
            </w:r>
            <w:r>
              <w:rPr>
                <w:rFonts w:eastAsia="仿宋_GB2312"/>
                <w:sz w:val="24"/>
              </w:rPr>
              <w:t>。</w:t>
            </w:r>
          </w:p>
        </w:tc>
        <w:tc>
          <w:tcPr>
            <w:tcW w:w="2697" w:type="dxa"/>
            <w:tcBorders>
              <w:bottom w:val="single" w:sz="4" w:space="0" w:color="auto"/>
              <w:righ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考研升学率≥</w:t>
            </w:r>
            <w:r>
              <w:rPr>
                <w:rFonts w:eastAsia="仿宋_GB2312"/>
                <w:sz w:val="24"/>
              </w:rPr>
              <w:t>10%</w:t>
            </w:r>
            <w:r>
              <w:rPr>
                <w:rFonts w:eastAsia="仿宋_GB2312"/>
                <w:sz w:val="24"/>
              </w:rPr>
              <w:t>，第二学位率≥</w:t>
            </w:r>
            <w:r>
              <w:rPr>
                <w:rFonts w:eastAsia="仿宋_GB2312"/>
                <w:sz w:val="24"/>
              </w:rPr>
              <w:t>4%</w:t>
            </w:r>
            <w:r>
              <w:rPr>
                <w:rFonts w:eastAsia="仿宋_GB2312"/>
                <w:sz w:val="24"/>
              </w:rPr>
              <w:t>，赴海外学习学生占比≥</w:t>
            </w:r>
            <w:r>
              <w:rPr>
                <w:rFonts w:eastAsia="仿宋_GB2312"/>
                <w:sz w:val="24"/>
              </w:rPr>
              <w:t>5%</w:t>
            </w:r>
            <w:r>
              <w:rPr>
                <w:rFonts w:eastAsia="仿宋_GB2312"/>
                <w:sz w:val="24"/>
              </w:rPr>
              <w:t>。</w:t>
            </w:r>
          </w:p>
        </w:tc>
        <w:tc>
          <w:tcPr>
            <w:tcW w:w="433" w:type="dxa"/>
            <w:tcBorders>
              <w:left w:val="thickThinSmallGap" w:sz="12" w:space="0" w:color="auto"/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867" w:type="dxa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</w:tr>
      <w:tr w:rsidR="005A31B4" w:rsidTr="008C4F93">
        <w:trPr>
          <w:trHeight w:val="340"/>
        </w:trPr>
        <w:tc>
          <w:tcPr>
            <w:tcW w:w="861" w:type="dxa"/>
            <w:vMerge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  <w:tc>
          <w:tcPr>
            <w:tcW w:w="1170" w:type="dxa"/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5.4</w:t>
            </w:r>
            <w:r>
              <w:rPr>
                <w:rFonts w:eastAsia="仿宋_GB2312"/>
                <w:sz w:val="24"/>
              </w:rPr>
              <w:t>学生获奖</w:t>
            </w:r>
          </w:p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分）</w:t>
            </w:r>
          </w:p>
        </w:tc>
        <w:tc>
          <w:tcPr>
            <w:tcW w:w="2580" w:type="dxa"/>
            <w:tcBorders>
              <w:righ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获得省级及以上科技、学科竞赛奖项的学生≥</w:t>
            </w:r>
            <w:r>
              <w:rPr>
                <w:rFonts w:eastAsia="仿宋_GB2312"/>
                <w:sz w:val="24"/>
              </w:rPr>
              <w:t>20%</w:t>
            </w:r>
            <w:r>
              <w:rPr>
                <w:rFonts w:eastAsia="仿宋_GB2312"/>
                <w:sz w:val="24"/>
              </w:rPr>
              <w:t>，公开发表论文，获得各类专利、软件著作权的学生≥</w:t>
            </w:r>
            <w:r>
              <w:rPr>
                <w:rFonts w:eastAsia="仿宋_GB2312"/>
                <w:sz w:val="24"/>
              </w:rPr>
              <w:t>6%</w:t>
            </w:r>
            <w:r>
              <w:rPr>
                <w:rFonts w:eastAsia="仿宋_GB2312"/>
                <w:sz w:val="24"/>
              </w:rPr>
              <w:t>。</w:t>
            </w:r>
          </w:p>
        </w:tc>
        <w:tc>
          <w:tcPr>
            <w:tcW w:w="2697" w:type="dxa"/>
            <w:tcBorders>
              <w:righ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获得省级及以上科技、学科竞赛奖项的学生≥</w:t>
            </w:r>
            <w:r>
              <w:rPr>
                <w:rFonts w:eastAsia="仿宋_GB2312"/>
                <w:sz w:val="24"/>
              </w:rPr>
              <w:t>10%</w:t>
            </w:r>
            <w:r>
              <w:rPr>
                <w:rFonts w:eastAsia="仿宋_GB2312"/>
                <w:sz w:val="24"/>
              </w:rPr>
              <w:t>，公开发表论文，获得各类专利、软件著作权的学生≥</w:t>
            </w:r>
            <w:r>
              <w:rPr>
                <w:rFonts w:eastAsia="仿宋_GB2312"/>
                <w:sz w:val="24"/>
              </w:rPr>
              <w:t>2%</w:t>
            </w:r>
            <w:r>
              <w:rPr>
                <w:rFonts w:eastAsia="仿宋_GB2312"/>
                <w:sz w:val="24"/>
              </w:rPr>
              <w:t>。</w:t>
            </w:r>
          </w:p>
        </w:tc>
        <w:tc>
          <w:tcPr>
            <w:tcW w:w="433" w:type="dxa"/>
            <w:tcBorders>
              <w:lef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470" w:type="dxa"/>
            <w:tcBorders>
              <w:lef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390" w:type="dxa"/>
            <w:tcBorders>
              <w:lef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0</w:t>
            </w:r>
          </w:p>
        </w:tc>
        <w:tc>
          <w:tcPr>
            <w:tcW w:w="867" w:type="dxa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</w:tr>
      <w:tr w:rsidR="005A31B4" w:rsidTr="008C4F93">
        <w:trPr>
          <w:trHeight w:val="340"/>
        </w:trPr>
        <w:tc>
          <w:tcPr>
            <w:tcW w:w="861" w:type="dxa"/>
            <w:vMerge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  <w:tc>
          <w:tcPr>
            <w:tcW w:w="1170" w:type="dxa"/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5.5</w:t>
            </w:r>
            <w:r>
              <w:rPr>
                <w:rFonts w:eastAsia="仿宋_GB2312"/>
                <w:sz w:val="24"/>
              </w:rPr>
              <w:t>生源质量</w:t>
            </w:r>
          </w:p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3</w:t>
            </w:r>
            <w:r>
              <w:rPr>
                <w:rFonts w:eastAsia="仿宋_GB2312"/>
                <w:sz w:val="24"/>
              </w:rPr>
              <w:t>分）</w:t>
            </w:r>
          </w:p>
        </w:tc>
        <w:tc>
          <w:tcPr>
            <w:tcW w:w="2580" w:type="dxa"/>
            <w:tcBorders>
              <w:righ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第一志愿报考率</w:t>
            </w:r>
            <w:r>
              <w:rPr>
                <w:rFonts w:eastAsia="仿宋_GB2312"/>
                <w:sz w:val="24"/>
              </w:rPr>
              <w:t>100%</w:t>
            </w:r>
          </w:p>
        </w:tc>
        <w:tc>
          <w:tcPr>
            <w:tcW w:w="2697" w:type="dxa"/>
            <w:tcBorders>
              <w:righ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第一志愿报考率不足</w:t>
            </w:r>
            <w:r>
              <w:rPr>
                <w:rFonts w:eastAsia="仿宋_GB2312"/>
                <w:sz w:val="24"/>
              </w:rPr>
              <w:t>80%</w:t>
            </w:r>
          </w:p>
        </w:tc>
        <w:tc>
          <w:tcPr>
            <w:tcW w:w="433" w:type="dxa"/>
            <w:tcBorders>
              <w:lef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470" w:type="dxa"/>
            <w:tcBorders>
              <w:lef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390" w:type="dxa"/>
            <w:tcBorders>
              <w:lef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867" w:type="dxa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</w:tr>
      <w:tr w:rsidR="005A31B4" w:rsidTr="008C4F93">
        <w:trPr>
          <w:trHeight w:val="283"/>
        </w:trPr>
        <w:tc>
          <w:tcPr>
            <w:tcW w:w="861" w:type="dxa"/>
            <w:vMerge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  <w:tc>
          <w:tcPr>
            <w:tcW w:w="1170" w:type="dxa"/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 xml:space="preserve">5.6 </w:t>
            </w:r>
            <w:r>
              <w:rPr>
                <w:rFonts w:eastAsia="仿宋_GB2312"/>
                <w:sz w:val="24"/>
              </w:rPr>
              <w:t>专业认证</w:t>
            </w:r>
          </w:p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分）</w:t>
            </w:r>
          </w:p>
        </w:tc>
        <w:tc>
          <w:tcPr>
            <w:tcW w:w="2580" w:type="dxa"/>
            <w:tcBorders>
              <w:righ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通过国内或国外的专业认证</w:t>
            </w:r>
          </w:p>
        </w:tc>
        <w:tc>
          <w:tcPr>
            <w:tcW w:w="2697" w:type="dxa"/>
            <w:tcBorders>
              <w:righ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没有通过国内或国外的专业认证</w:t>
            </w:r>
          </w:p>
        </w:tc>
        <w:tc>
          <w:tcPr>
            <w:tcW w:w="433" w:type="dxa"/>
            <w:tcBorders>
              <w:lef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470" w:type="dxa"/>
            <w:tcBorders>
              <w:lef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0</w:t>
            </w:r>
          </w:p>
        </w:tc>
        <w:tc>
          <w:tcPr>
            <w:tcW w:w="867" w:type="dxa"/>
            <w:vMerge w:val="restart"/>
            <w:tcBorders>
              <w:bottom w:val="single" w:sz="4" w:space="0" w:color="auto"/>
            </w:tcBorders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</w:tr>
      <w:tr w:rsidR="005A31B4" w:rsidTr="008C4F93">
        <w:trPr>
          <w:trHeight w:val="340"/>
        </w:trPr>
        <w:tc>
          <w:tcPr>
            <w:tcW w:w="861" w:type="dxa"/>
            <w:vMerge/>
            <w:tcBorders>
              <w:bottom w:val="double" w:sz="4" w:space="0" w:color="auto"/>
            </w:tcBorders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5.7</w:t>
            </w:r>
            <w:r>
              <w:rPr>
                <w:rFonts w:eastAsia="仿宋_GB2312"/>
                <w:sz w:val="24"/>
              </w:rPr>
              <w:t>就业情况</w:t>
            </w:r>
            <w:r>
              <w:rPr>
                <w:rFonts w:eastAsia="仿宋_GB2312"/>
                <w:sz w:val="24"/>
              </w:rPr>
              <w:t>*</w:t>
            </w:r>
          </w:p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lastRenderedPageBreak/>
              <w:t>（</w:t>
            </w:r>
            <w:r>
              <w:rPr>
                <w:rFonts w:eastAsia="仿宋_GB2312"/>
                <w:sz w:val="24"/>
              </w:rPr>
              <w:t>5</w:t>
            </w:r>
            <w:r>
              <w:rPr>
                <w:rFonts w:eastAsia="仿宋_GB2312"/>
                <w:sz w:val="24"/>
              </w:rPr>
              <w:t>分）</w:t>
            </w:r>
          </w:p>
        </w:tc>
        <w:tc>
          <w:tcPr>
            <w:tcW w:w="2580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lastRenderedPageBreak/>
              <w:t>毕业生非失业率位于全校前</w:t>
            </w:r>
            <w:r>
              <w:rPr>
                <w:rFonts w:eastAsia="仿宋_GB2312"/>
                <w:sz w:val="24"/>
              </w:rPr>
              <w:t>20%</w:t>
            </w:r>
            <w:r>
              <w:rPr>
                <w:rFonts w:eastAsia="仿宋_GB2312"/>
                <w:sz w:val="24"/>
              </w:rPr>
              <w:t>且位于省</w:t>
            </w:r>
            <w:r>
              <w:rPr>
                <w:rFonts w:eastAsia="仿宋_GB2312"/>
                <w:sz w:val="24"/>
              </w:rPr>
              <w:lastRenderedPageBreak/>
              <w:t>内同专业前</w:t>
            </w:r>
            <w:r>
              <w:rPr>
                <w:rFonts w:eastAsia="仿宋_GB2312"/>
                <w:sz w:val="24"/>
              </w:rPr>
              <w:t>20%</w:t>
            </w:r>
            <w:r>
              <w:rPr>
                <w:rFonts w:eastAsia="仿宋_GB2312"/>
                <w:sz w:val="24"/>
              </w:rPr>
              <w:t>。毕业生当年及三年后酬金水平高于全省同专业平均薪酬水平</w:t>
            </w:r>
            <w:r>
              <w:rPr>
                <w:rFonts w:eastAsia="仿宋_GB2312"/>
                <w:sz w:val="24"/>
              </w:rPr>
              <w:t>30%</w:t>
            </w:r>
          </w:p>
        </w:tc>
        <w:tc>
          <w:tcPr>
            <w:tcW w:w="2697" w:type="dxa"/>
            <w:tcBorders>
              <w:bottom w:val="double" w:sz="4" w:space="0" w:color="auto"/>
              <w:righ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lastRenderedPageBreak/>
              <w:t>毕业生非失业率位于全校前</w:t>
            </w:r>
            <w:r>
              <w:rPr>
                <w:rFonts w:eastAsia="仿宋_GB2312"/>
                <w:sz w:val="24"/>
              </w:rPr>
              <w:t>50%</w:t>
            </w:r>
            <w:r>
              <w:rPr>
                <w:rFonts w:eastAsia="仿宋_GB2312"/>
                <w:sz w:val="24"/>
              </w:rPr>
              <w:t>且位于省内同</w:t>
            </w:r>
            <w:r>
              <w:rPr>
                <w:rFonts w:eastAsia="仿宋_GB2312"/>
                <w:sz w:val="24"/>
              </w:rPr>
              <w:lastRenderedPageBreak/>
              <w:t>专业前</w:t>
            </w:r>
            <w:r>
              <w:rPr>
                <w:rFonts w:eastAsia="仿宋_GB2312"/>
                <w:sz w:val="24"/>
              </w:rPr>
              <w:t>50%</w:t>
            </w:r>
            <w:r>
              <w:rPr>
                <w:rFonts w:eastAsia="仿宋_GB2312"/>
                <w:sz w:val="24"/>
              </w:rPr>
              <w:t>。毕业生当年及三年后酬金水平高于全省同专业平均薪酬水平</w:t>
            </w:r>
            <w:r>
              <w:rPr>
                <w:rFonts w:eastAsia="仿宋_GB2312"/>
                <w:sz w:val="24"/>
              </w:rPr>
              <w:t>10%</w:t>
            </w:r>
          </w:p>
        </w:tc>
        <w:tc>
          <w:tcPr>
            <w:tcW w:w="433" w:type="dxa"/>
            <w:tcBorders>
              <w:left w:val="thickThinSmallGap" w:sz="12" w:space="0" w:color="auto"/>
              <w:bottom w:val="doub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lastRenderedPageBreak/>
              <w:t>5</w:t>
            </w:r>
          </w:p>
        </w:tc>
        <w:tc>
          <w:tcPr>
            <w:tcW w:w="470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867" w:type="dxa"/>
            <w:vMerge/>
            <w:tcBorders>
              <w:top w:val="single" w:sz="4" w:space="0" w:color="auto"/>
              <w:bottom w:val="double" w:sz="4" w:space="0" w:color="auto"/>
            </w:tcBorders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</w:tr>
      <w:tr w:rsidR="005A31B4" w:rsidTr="008C4F93">
        <w:trPr>
          <w:trHeight w:val="1669"/>
        </w:trPr>
        <w:tc>
          <w:tcPr>
            <w:tcW w:w="861" w:type="dxa"/>
            <w:tcBorders>
              <w:bottom w:val="single" w:sz="4" w:space="0" w:color="auto"/>
            </w:tcBorders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lastRenderedPageBreak/>
              <w:t>附加分</w:t>
            </w:r>
          </w:p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20</w:t>
            </w:r>
            <w:r>
              <w:rPr>
                <w:rFonts w:eastAsia="仿宋_GB2312"/>
                <w:sz w:val="24"/>
              </w:rPr>
              <w:t>分）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</w:p>
        </w:tc>
        <w:tc>
          <w:tcPr>
            <w:tcW w:w="25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 w:val="24"/>
              </w:rPr>
              <w:t>专业为国家急需，且发展前景好</w:t>
            </w:r>
          </w:p>
        </w:tc>
        <w:tc>
          <w:tcPr>
            <w:tcW w:w="2697" w:type="dxa"/>
            <w:tcBorders>
              <w:bottom w:val="single" w:sz="4" w:space="0" w:color="auto"/>
              <w:right w:val="thickThinSmallGap" w:sz="12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</w:p>
        </w:tc>
        <w:tc>
          <w:tcPr>
            <w:tcW w:w="433" w:type="dxa"/>
            <w:tcBorders>
              <w:left w:val="thickThinSmallGap" w:sz="12" w:space="0" w:color="auto"/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  <w:r>
              <w:rPr>
                <w:rFonts w:eastAsia="仿宋_GB2312"/>
                <w:szCs w:val="21"/>
              </w:rPr>
              <w:t>20</w:t>
            </w:r>
          </w:p>
        </w:tc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18"/>
                <w:szCs w:val="18"/>
              </w:rPr>
            </w:pPr>
            <w:r>
              <w:rPr>
                <w:rFonts w:eastAsia="仿宋_GB2312"/>
                <w:szCs w:val="21"/>
              </w:rPr>
              <w:t>10</w:t>
            </w: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18"/>
                <w:szCs w:val="18"/>
              </w:rPr>
            </w:pPr>
            <w:r>
              <w:rPr>
                <w:rFonts w:eastAsia="仿宋_GB2312"/>
                <w:szCs w:val="21"/>
              </w:rPr>
              <w:t>5</w:t>
            </w:r>
          </w:p>
        </w:tc>
        <w:tc>
          <w:tcPr>
            <w:tcW w:w="867" w:type="dxa"/>
            <w:tcBorders>
              <w:top w:val="nil"/>
              <w:bottom w:val="single" w:sz="4" w:space="0" w:color="auto"/>
            </w:tcBorders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</w:tr>
      <w:tr w:rsidR="005A31B4" w:rsidTr="008C4F93">
        <w:trPr>
          <w:trHeight w:val="233"/>
        </w:trPr>
        <w:tc>
          <w:tcPr>
            <w:tcW w:w="7308" w:type="dxa"/>
            <w:gridSpan w:val="4"/>
            <w:tcBorders>
              <w:bottom w:val="double" w:sz="4" w:space="0" w:color="auto"/>
              <w:right w:val="thickThinSmallGap" w:sz="12" w:space="0" w:color="auto"/>
            </w:tcBorders>
          </w:tcPr>
          <w:p w:rsidR="005A31B4" w:rsidRDefault="005A31B4" w:rsidP="008C4F93">
            <w:pPr>
              <w:spacing w:line="360" w:lineRule="auto"/>
              <w:rPr>
                <w:rFonts w:eastAsia="仿宋_GB2312" w:hint="default"/>
                <w:sz w:val="24"/>
              </w:rPr>
            </w:pPr>
          </w:p>
        </w:tc>
        <w:tc>
          <w:tcPr>
            <w:tcW w:w="1293" w:type="dxa"/>
            <w:gridSpan w:val="3"/>
            <w:tcBorders>
              <w:left w:val="thickThinSmallGap" w:sz="12" w:space="0" w:color="auto"/>
              <w:bottom w:val="double" w:sz="4" w:space="0" w:color="auto"/>
            </w:tcBorders>
            <w:vAlign w:val="center"/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Cs w:val="21"/>
              </w:rPr>
            </w:pPr>
            <w:r>
              <w:rPr>
                <w:rFonts w:eastAsia="仿宋_GB2312"/>
                <w:sz w:val="28"/>
                <w:szCs w:val="28"/>
              </w:rPr>
              <w:t>总分</w:t>
            </w: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:rsidR="005A31B4" w:rsidRDefault="005A31B4" w:rsidP="008C4F93">
            <w:pPr>
              <w:spacing w:line="360" w:lineRule="auto"/>
              <w:jc w:val="center"/>
              <w:rPr>
                <w:rFonts w:eastAsia="仿宋_GB2312" w:hint="default"/>
                <w:sz w:val="24"/>
              </w:rPr>
            </w:pPr>
          </w:p>
        </w:tc>
      </w:tr>
    </w:tbl>
    <w:p w:rsidR="005A31B4" w:rsidRDefault="005A31B4" w:rsidP="005A31B4">
      <w:pPr>
        <w:rPr>
          <w:rFonts w:hint="default"/>
        </w:rPr>
      </w:pPr>
    </w:p>
    <w:p w:rsidR="00175917" w:rsidRDefault="00175917">
      <w:pPr>
        <w:rPr>
          <w:rFonts w:hint="default"/>
        </w:rPr>
      </w:pPr>
    </w:p>
    <w:sectPr w:rsidR="0017591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B83" w:rsidRDefault="00DE0B83" w:rsidP="008E2277">
      <w:pPr>
        <w:rPr>
          <w:rFonts w:hint="default"/>
        </w:rPr>
      </w:pPr>
      <w:r>
        <w:separator/>
      </w:r>
    </w:p>
  </w:endnote>
  <w:endnote w:type="continuationSeparator" w:id="0">
    <w:p w:rsidR="00DE0B83" w:rsidRDefault="00DE0B83" w:rsidP="008E2277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B83" w:rsidRDefault="00DE0B83" w:rsidP="008E2277">
      <w:pPr>
        <w:rPr>
          <w:rFonts w:hint="default"/>
        </w:rPr>
      </w:pPr>
      <w:r>
        <w:separator/>
      </w:r>
    </w:p>
  </w:footnote>
  <w:footnote w:type="continuationSeparator" w:id="0">
    <w:p w:rsidR="00DE0B83" w:rsidRDefault="00DE0B83" w:rsidP="008E2277">
      <w:pPr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1B4"/>
    <w:rsid w:val="00007899"/>
    <w:rsid w:val="00020800"/>
    <w:rsid w:val="0002151E"/>
    <w:rsid w:val="00023F7C"/>
    <w:rsid w:val="00036593"/>
    <w:rsid w:val="00037F0F"/>
    <w:rsid w:val="000470D6"/>
    <w:rsid w:val="00052D21"/>
    <w:rsid w:val="00055192"/>
    <w:rsid w:val="0006024B"/>
    <w:rsid w:val="00061659"/>
    <w:rsid w:val="0007588B"/>
    <w:rsid w:val="00076BD3"/>
    <w:rsid w:val="00096A89"/>
    <w:rsid w:val="000A1B21"/>
    <w:rsid w:val="000A4C19"/>
    <w:rsid w:val="000A5F99"/>
    <w:rsid w:val="000A7934"/>
    <w:rsid w:val="000B0CDB"/>
    <w:rsid w:val="000B6727"/>
    <w:rsid w:val="000F01D7"/>
    <w:rsid w:val="0010610A"/>
    <w:rsid w:val="00106F0D"/>
    <w:rsid w:val="0010749D"/>
    <w:rsid w:val="001153A7"/>
    <w:rsid w:val="001166EE"/>
    <w:rsid w:val="001178E4"/>
    <w:rsid w:val="001423CB"/>
    <w:rsid w:val="00146804"/>
    <w:rsid w:val="00151707"/>
    <w:rsid w:val="001655A9"/>
    <w:rsid w:val="00175235"/>
    <w:rsid w:val="00175917"/>
    <w:rsid w:val="00193FB3"/>
    <w:rsid w:val="00196115"/>
    <w:rsid w:val="001A07E2"/>
    <w:rsid w:val="001A2297"/>
    <w:rsid w:val="001A5D0F"/>
    <w:rsid w:val="001A6AD7"/>
    <w:rsid w:val="001C1632"/>
    <w:rsid w:val="001E198C"/>
    <w:rsid w:val="001E2E0A"/>
    <w:rsid w:val="001F3617"/>
    <w:rsid w:val="001F780F"/>
    <w:rsid w:val="00213A1C"/>
    <w:rsid w:val="00234ABB"/>
    <w:rsid w:val="0024046F"/>
    <w:rsid w:val="00251780"/>
    <w:rsid w:val="00252D00"/>
    <w:rsid w:val="00261FAB"/>
    <w:rsid w:val="002665D9"/>
    <w:rsid w:val="00275AAB"/>
    <w:rsid w:val="0028289D"/>
    <w:rsid w:val="0028692E"/>
    <w:rsid w:val="002902F7"/>
    <w:rsid w:val="00294473"/>
    <w:rsid w:val="002972D9"/>
    <w:rsid w:val="002A5B77"/>
    <w:rsid w:val="002B7B2C"/>
    <w:rsid w:val="002D0C2B"/>
    <w:rsid w:val="002D3B06"/>
    <w:rsid w:val="002E5F8C"/>
    <w:rsid w:val="0030672D"/>
    <w:rsid w:val="00312F51"/>
    <w:rsid w:val="00350188"/>
    <w:rsid w:val="00353BC8"/>
    <w:rsid w:val="00356936"/>
    <w:rsid w:val="00362C67"/>
    <w:rsid w:val="00366219"/>
    <w:rsid w:val="00385778"/>
    <w:rsid w:val="00385F3F"/>
    <w:rsid w:val="0039440E"/>
    <w:rsid w:val="003A1C11"/>
    <w:rsid w:val="003A37B8"/>
    <w:rsid w:val="003A3D5C"/>
    <w:rsid w:val="003C62AE"/>
    <w:rsid w:val="003D5B68"/>
    <w:rsid w:val="003E30C8"/>
    <w:rsid w:val="003E3394"/>
    <w:rsid w:val="003F168D"/>
    <w:rsid w:val="003F35A8"/>
    <w:rsid w:val="003F3F73"/>
    <w:rsid w:val="003F5711"/>
    <w:rsid w:val="00410BC1"/>
    <w:rsid w:val="004266E0"/>
    <w:rsid w:val="00432593"/>
    <w:rsid w:val="004332A4"/>
    <w:rsid w:val="00436A73"/>
    <w:rsid w:val="00457040"/>
    <w:rsid w:val="004735A9"/>
    <w:rsid w:val="0049721C"/>
    <w:rsid w:val="004A7432"/>
    <w:rsid w:val="004B6F54"/>
    <w:rsid w:val="004C0BE6"/>
    <w:rsid w:val="004C18DA"/>
    <w:rsid w:val="004C447E"/>
    <w:rsid w:val="004D3E21"/>
    <w:rsid w:val="005006B1"/>
    <w:rsid w:val="00505925"/>
    <w:rsid w:val="0051793E"/>
    <w:rsid w:val="00533E47"/>
    <w:rsid w:val="00540194"/>
    <w:rsid w:val="00546EEF"/>
    <w:rsid w:val="00563A8C"/>
    <w:rsid w:val="00571F0C"/>
    <w:rsid w:val="00574240"/>
    <w:rsid w:val="005827B8"/>
    <w:rsid w:val="005A31B4"/>
    <w:rsid w:val="005A325B"/>
    <w:rsid w:val="005A6F14"/>
    <w:rsid w:val="005B1809"/>
    <w:rsid w:val="005B40FF"/>
    <w:rsid w:val="0060481F"/>
    <w:rsid w:val="00616138"/>
    <w:rsid w:val="0063113F"/>
    <w:rsid w:val="00631F5F"/>
    <w:rsid w:val="006417E6"/>
    <w:rsid w:val="00642961"/>
    <w:rsid w:val="00642E33"/>
    <w:rsid w:val="006466CB"/>
    <w:rsid w:val="00646E88"/>
    <w:rsid w:val="006601BD"/>
    <w:rsid w:val="00667E71"/>
    <w:rsid w:val="00672754"/>
    <w:rsid w:val="006743B4"/>
    <w:rsid w:val="00675527"/>
    <w:rsid w:val="00681348"/>
    <w:rsid w:val="00681B40"/>
    <w:rsid w:val="0068299D"/>
    <w:rsid w:val="00692BAD"/>
    <w:rsid w:val="00697B02"/>
    <w:rsid w:val="006A1BF1"/>
    <w:rsid w:val="006A65A5"/>
    <w:rsid w:val="006A68FE"/>
    <w:rsid w:val="006B0DEC"/>
    <w:rsid w:val="006B24B0"/>
    <w:rsid w:val="006B366E"/>
    <w:rsid w:val="006B3875"/>
    <w:rsid w:val="006D31D0"/>
    <w:rsid w:val="006D73ED"/>
    <w:rsid w:val="006E244C"/>
    <w:rsid w:val="006E52F0"/>
    <w:rsid w:val="006E6717"/>
    <w:rsid w:val="00702B75"/>
    <w:rsid w:val="0070626C"/>
    <w:rsid w:val="0071197B"/>
    <w:rsid w:val="00725DBA"/>
    <w:rsid w:val="00727407"/>
    <w:rsid w:val="00756C87"/>
    <w:rsid w:val="00761E7D"/>
    <w:rsid w:val="00765534"/>
    <w:rsid w:val="007775F3"/>
    <w:rsid w:val="00790DF2"/>
    <w:rsid w:val="00792049"/>
    <w:rsid w:val="007A1A9B"/>
    <w:rsid w:val="007D072F"/>
    <w:rsid w:val="007D2E16"/>
    <w:rsid w:val="007D51B1"/>
    <w:rsid w:val="007E41BA"/>
    <w:rsid w:val="007E75E5"/>
    <w:rsid w:val="007F0662"/>
    <w:rsid w:val="007F3F09"/>
    <w:rsid w:val="0080207A"/>
    <w:rsid w:val="00814068"/>
    <w:rsid w:val="00833218"/>
    <w:rsid w:val="00855A72"/>
    <w:rsid w:val="00860F86"/>
    <w:rsid w:val="00863B21"/>
    <w:rsid w:val="008665DD"/>
    <w:rsid w:val="00870DD6"/>
    <w:rsid w:val="008B2D6B"/>
    <w:rsid w:val="008B6CA9"/>
    <w:rsid w:val="008C4B37"/>
    <w:rsid w:val="008C7A02"/>
    <w:rsid w:val="008E2277"/>
    <w:rsid w:val="008E4C00"/>
    <w:rsid w:val="008F1679"/>
    <w:rsid w:val="008F5B78"/>
    <w:rsid w:val="009052DB"/>
    <w:rsid w:val="00914BCF"/>
    <w:rsid w:val="0091664C"/>
    <w:rsid w:val="009267AE"/>
    <w:rsid w:val="00927E7E"/>
    <w:rsid w:val="00934FCD"/>
    <w:rsid w:val="00935AF8"/>
    <w:rsid w:val="00937105"/>
    <w:rsid w:val="0095129F"/>
    <w:rsid w:val="00971F4A"/>
    <w:rsid w:val="00977A72"/>
    <w:rsid w:val="009870C3"/>
    <w:rsid w:val="009903AE"/>
    <w:rsid w:val="009B0F58"/>
    <w:rsid w:val="009B6681"/>
    <w:rsid w:val="009C119A"/>
    <w:rsid w:val="009C6714"/>
    <w:rsid w:val="009E1C9B"/>
    <w:rsid w:val="009E35E0"/>
    <w:rsid w:val="009E39D4"/>
    <w:rsid w:val="009E4FC3"/>
    <w:rsid w:val="009F1B70"/>
    <w:rsid w:val="009F5B68"/>
    <w:rsid w:val="00A2257D"/>
    <w:rsid w:val="00A34520"/>
    <w:rsid w:val="00A37C2A"/>
    <w:rsid w:val="00A42B13"/>
    <w:rsid w:val="00A467FC"/>
    <w:rsid w:val="00A542D2"/>
    <w:rsid w:val="00A60C7C"/>
    <w:rsid w:val="00A66956"/>
    <w:rsid w:val="00A803D3"/>
    <w:rsid w:val="00A80429"/>
    <w:rsid w:val="00A9159C"/>
    <w:rsid w:val="00AA26CE"/>
    <w:rsid w:val="00AA3535"/>
    <w:rsid w:val="00AA3DB3"/>
    <w:rsid w:val="00AB09A2"/>
    <w:rsid w:val="00AB3235"/>
    <w:rsid w:val="00AC266E"/>
    <w:rsid w:val="00AC3A0C"/>
    <w:rsid w:val="00AC3CA9"/>
    <w:rsid w:val="00AC4004"/>
    <w:rsid w:val="00AE6F2F"/>
    <w:rsid w:val="00B21FF8"/>
    <w:rsid w:val="00B30EF9"/>
    <w:rsid w:val="00B6081E"/>
    <w:rsid w:val="00B77CB4"/>
    <w:rsid w:val="00B8158E"/>
    <w:rsid w:val="00B83E31"/>
    <w:rsid w:val="00B959CF"/>
    <w:rsid w:val="00B96B40"/>
    <w:rsid w:val="00B96F23"/>
    <w:rsid w:val="00B977E8"/>
    <w:rsid w:val="00BA0D1D"/>
    <w:rsid w:val="00BA23AA"/>
    <w:rsid w:val="00BA2C55"/>
    <w:rsid w:val="00BA673A"/>
    <w:rsid w:val="00BB50B7"/>
    <w:rsid w:val="00BC75B1"/>
    <w:rsid w:val="00BD25A5"/>
    <w:rsid w:val="00C0052B"/>
    <w:rsid w:val="00C1519F"/>
    <w:rsid w:val="00C15711"/>
    <w:rsid w:val="00C2112E"/>
    <w:rsid w:val="00C2758A"/>
    <w:rsid w:val="00C30CA3"/>
    <w:rsid w:val="00C45A63"/>
    <w:rsid w:val="00C46DEE"/>
    <w:rsid w:val="00C809D8"/>
    <w:rsid w:val="00C822FB"/>
    <w:rsid w:val="00C8377F"/>
    <w:rsid w:val="00C95DB8"/>
    <w:rsid w:val="00CA0ACE"/>
    <w:rsid w:val="00CA6E4C"/>
    <w:rsid w:val="00CD4487"/>
    <w:rsid w:val="00CF4B98"/>
    <w:rsid w:val="00CF7640"/>
    <w:rsid w:val="00D017EA"/>
    <w:rsid w:val="00D14CC9"/>
    <w:rsid w:val="00D25BF1"/>
    <w:rsid w:val="00D45738"/>
    <w:rsid w:val="00D45A4E"/>
    <w:rsid w:val="00D55E9F"/>
    <w:rsid w:val="00D563EF"/>
    <w:rsid w:val="00D66E8A"/>
    <w:rsid w:val="00D72428"/>
    <w:rsid w:val="00D86881"/>
    <w:rsid w:val="00D94FE4"/>
    <w:rsid w:val="00DB0F24"/>
    <w:rsid w:val="00DB7179"/>
    <w:rsid w:val="00DE03BC"/>
    <w:rsid w:val="00DE0B83"/>
    <w:rsid w:val="00DF1639"/>
    <w:rsid w:val="00DF74BC"/>
    <w:rsid w:val="00E30A30"/>
    <w:rsid w:val="00E31427"/>
    <w:rsid w:val="00E327FA"/>
    <w:rsid w:val="00E443CC"/>
    <w:rsid w:val="00E53CBF"/>
    <w:rsid w:val="00E56909"/>
    <w:rsid w:val="00E61C97"/>
    <w:rsid w:val="00E62EFB"/>
    <w:rsid w:val="00E63E67"/>
    <w:rsid w:val="00E82DCC"/>
    <w:rsid w:val="00E83773"/>
    <w:rsid w:val="00E845C1"/>
    <w:rsid w:val="00E86647"/>
    <w:rsid w:val="00EA49B2"/>
    <w:rsid w:val="00EA5D26"/>
    <w:rsid w:val="00EA7B7D"/>
    <w:rsid w:val="00EB0B33"/>
    <w:rsid w:val="00EB3C7C"/>
    <w:rsid w:val="00EC48AE"/>
    <w:rsid w:val="00ED12F8"/>
    <w:rsid w:val="00ED53FC"/>
    <w:rsid w:val="00EE36EE"/>
    <w:rsid w:val="00EF311F"/>
    <w:rsid w:val="00EF5AA4"/>
    <w:rsid w:val="00F0077B"/>
    <w:rsid w:val="00F04D79"/>
    <w:rsid w:val="00F140E3"/>
    <w:rsid w:val="00F21A92"/>
    <w:rsid w:val="00F23176"/>
    <w:rsid w:val="00F3096C"/>
    <w:rsid w:val="00F30EF2"/>
    <w:rsid w:val="00F37DB8"/>
    <w:rsid w:val="00F41D94"/>
    <w:rsid w:val="00F44575"/>
    <w:rsid w:val="00F46C1C"/>
    <w:rsid w:val="00F609ED"/>
    <w:rsid w:val="00F62251"/>
    <w:rsid w:val="00F67E32"/>
    <w:rsid w:val="00F7705D"/>
    <w:rsid w:val="00F9178A"/>
    <w:rsid w:val="00FA07CC"/>
    <w:rsid w:val="00FC1ADF"/>
    <w:rsid w:val="00FC4B3B"/>
    <w:rsid w:val="00FC6B02"/>
    <w:rsid w:val="00FD2F4A"/>
    <w:rsid w:val="00FD3073"/>
    <w:rsid w:val="00FE709D"/>
    <w:rsid w:val="00FF0FF2"/>
    <w:rsid w:val="00FF4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1B4"/>
    <w:pPr>
      <w:widowControl w:val="0"/>
      <w:jc w:val="both"/>
    </w:pPr>
    <w:rPr>
      <w:rFonts w:ascii="Times New Roman" w:eastAsia="宋体" w:hAnsi="Times New Roman" w:cs="Times New Roman" w:hint="eastAsia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5A31B4"/>
    <w:rPr>
      <w:rFonts w:hint="default"/>
      <w:sz w:val="18"/>
      <w:szCs w:val="18"/>
    </w:rPr>
  </w:style>
  <w:style w:type="character" w:customStyle="1" w:styleId="Char">
    <w:name w:val="批注框文本 Char"/>
    <w:basedOn w:val="a0"/>
    <w:link w:val="a3"/>
    <w:rsid w:val="005A31B4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E22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E227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E22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E227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1B4"/>
    <w:pPr>
      <w:widowControl w:val="0"/>
      <w:jc w:val="both"/>
    </w:pPr>
    <w:rPr>
      <w:rFonts w:ascii="Times New Roman" w:eastAsia="宋体" w:hAnsi="Times New Roman" w:cs="Times New Roman" w:hint="eastAsia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5A31B4"/>
    <w:rPr>
      <w:rFonts w:hint="default"/>
      <w:sz w:val="18"/>
      <w:szCs w:val="18"/>
    </w:rPr>
  </w:style>
  <w:style w:type="character" w:customStyle="1" w:styleId="Char">
    <w:name w:val="批注框文本 Char"/>
    <w:basedOn w:val="a0"/>
    <w:link w:val="a3"/>
    <w:rsid w:val="005A31B4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E22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E227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E22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E227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385</Words>
  <Characters>2199</Characters>
  <Application>Microsoft Office Word</Application>
  <DocSecurity>0</DocSecurity>
  <Lines>18</Lines>
  <Paragraphs>5</Paragraphs>
  <ScaleCrop>false</ScaleCrop>
  <Company/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2015-12-02T01:14:00Z</dcterms:created>
  <dcterms:modified xsi:type="dcterms:W3CDTF">2015-12-02T01:20:00Z</dcterms:modified>
</cp:coreProperties>
</file>